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CF09A">
      <w:pPr>
        <w:spacing w:before="100" w:beforeLines="0" w:after="100" w:afterLines="0"/>
        <w:jc w:val="center"/>
        <w:rPr>
          <w:rFonts w:hint="eastAsia" w:ascii="宋体" w:hAnsi="宋体"/>
          <w:sz w:val="24"/>
          <w:szCs w:val="24"/>
          <w:lang w:val="zh-CN"/>
        </w:rPr>
      </w:pPr>
    </w:p>
    <w:p w14:paraId="5A0B6E1A">
      <w:pPr>
        <w:spacing w:before="100" w:beforeLines="0" w:after="100" w:afterLines="0"/>
        <w:jc w:val="center"/>
        <w:rPr>
          <w:rFonts w:hint="eastAsia" w:ascii="宋体" w:hAnsi="宋体"/>
          <w:sz w:val="24"/>
          <w:szCs w:val="24"/>
          <w:lang w:val="zh-CN"/>
        </w:rPr>
      </w:pPr>
    </w:p>
    <w:p w14:paraId="4A095879">
      <w:pPr>
        <w:spacing w:before="100" w:beforeLines="0" w:after="100" w:afterLines="0"/>
        <w:jc w:val="center"/>
        <w:rPr>
          <w:rFonts w:hint="eastAsia" w:ascii="宋体" w:hAnsi="宋体"/>
          <w:sz w:val="24"/>
          <w:szCs w:val="24"/>
          <w:lang w:val="zh-CN"/>
        </w:rPr>
      </w:pPr>
    </w:p>
    <w:p w14:paraId="240E552E">
      <w:pPr>
        <w:spacing w:before="100" w:beforeLines="0" w:after="100" w:afterLines="0"/>
        <w:jc w:val="center"/>
        <w:rPr>
          <w:rFonts w:hint="eastAsia" w:ascii="宋体" w:hAnsi="宋体"/>
          <w:sz w:val="24"/>
          <w:szCs w:val="24"/>
          <w:lang w:val="zh-CN"/>
        </w:rPr>
      </w:pPr>
    </w:p>
    <w:p w14:paraId="72C6399E">
      <w:pPr>
        <w:spacing w:before="100" w:beforeLines="0" w:after="100" w:afterLines="0"/>
        <w:jc w:val="center"/>
        <w:rPr>
          <w:rFonts w:hint="eastAsia" w:ascii="宋体" w:hAnsi="宋体"/>
          <w:sz w:val="24"/>
          <w:szCs w:val="24"/>
          <w:lang w:val="zh-CN"/>
        </w:rPr>
      </w:pPr>
    </w:p>
    <w:p w14:paraId="373C1238">
      <w:pPr>
        <w:spacing w:before="100" w:beforeLines="0" w:after="100" w:afterLines="0"/>
        <w:jc w:val="center"/>
        <w:rPr>
          <w:rFonts w:hint="eastAsia" w:ascii="宋体" w:hAnsi="宋体"/>
          <w:sz w:val="24"/>
          <w:szCs w:val="24"/>
          <w:lang w:val="zh-CN"/>
        </w:rPr>
      </w:pPr>
    </w:p>
    <w:p w14:paraId="71AAB368">
      <w:pPr>
        <w:spacing w:before="100" w:beforeLines="0" w:after="100" w:afterLines="0"/>
        <w:jc w:val="center"/>
        <w:rPr>
          <w:rFonts w:hint="eastAsia" w:ascii="宋体" w:hAnsi="宋体"/>
          <w:sz w:val="24"/>
          <w:szCs w:val="24"/>
          <w:lang w:val="zh-CN"/>
        </w:rPr>
      </w:pPr>
    </w:p>
    <w:p w14:paraId="1628175F">
      <w:pPr>
        <w:spacing w:before="100" w:beforeLines="0" w:after="100" w:afterLines="0"/>
        <w:jc w:val="center"/>
        <w:rPr>
          <w:rFonts w:hint="eastAsia" w:ascii="宋体" w:hAnsi="宋体"/>
          <w:sz w:val="24"/>
          <w:szCs w:val="24"/>
          <w:lang w:val="zh-CN"/>
        </w:rPr>
      </w:pPr>
    </w:p>
    <w:p w14:paraId="007E36E9">
      <w:pPr>
        <w:spacing w:before="100" w:beforeLines="0" w:after="100" w:afterLines="0"/>
        <w:jc w:val="center"/>
        <w:rPr>
          <w:rFonts w:hint="eastAsia" w:ascii="宋体" w:hAnsi="宋体"/>
          <w:sz w:val="24"/>
          <w:szCs w:val="24"/>
          <w:lang w:val="zh-CN"/>
        </w:rPr>
      </w:pPr>
    </w:p>
    <w:p w14:paraId="71DA8F28">
      <w:pPr>
        <w:spacing w:before="100" w:beforeLines="0" w:after="100" w:afterLines="0"/>
        <w:jc w:val="center"/>
        <w:rPr>
          <w:rFonts w:hint="eastAsia" w:ascii="宋体" w:hAnsi="宋体"/>
          <w:sz w:val="24"/>
          <w:szCs w:val="24"/>
          <w:lang w:val="zh-CN"/>
        </w:rPr>
      </w:pPr>
    </w:p>
    <w:p w14:paraId="70BEEF99">
      <w:pPr>
        <w:spacing w:before="100" w:beforeLines="0" w:after="100" w:afterLines="0"/>
        <w:jc w:val="center"/>
        <w:rPr>
          <w:rFonts w:hint="eastAsia" w:ascii="宋体" w:hAnsi="宋体"/>
          <w:sz w:val="24"/>
          <w:szCs w:val="24"/>
          <w:lang w:val="zh-CN"/>
        </w:rPr>
      </w:pPr>
    </w:p>
    <w:p w14:paraId="48B40AEF">
      <w:pPr>
        <w:spacing w:before="100" w:beforeLines="0" w:after="100" w:afterLines="0"/>
        <w:jc w:val="center"/>
        <w:rPr>
          <w:rFonts w:hint="eastAsia" w:ascii="宋体" w:hAnsi="宋体"/>
          <w:sz w:val="24"/>
          <w:szCs w:val="24"/>
          <w:lang w:val="zh-CN"/>
        </w:rPr>
      </w:pPr>
    </w:p>
    <w:p w14:paraId="5A5BB457">
      <w:pPr>
        <w:spacing w:before="100" w:beforeLines="0" w:after="100" w:afterLines="0"/>
        <w:jc w:val="center"/>
        <w:rPr>
          <w:rFonts w:hint="eastAsia" w:ascii="宋体" w:hAnsi="宋体"/>
          <w:sz w:val="24"/>
          <w:szCs w:val="24"/>
          <w:lang w:val="zh-CN"/>
        </w:rPr>
      </w:pPr>
      <w:r>
        <w:rPr>
          <w:rFonts w:hint="eastAsia" w:ascii="宋体" w:hAnsi="宋体"/>
          <w:sz w:val="24"/>
          <w:szCs w:val="24"/>
          <w:lang w:val="zh-CN"/>
        </w:rPr>
        <w:t>2023年度</w:t>
      </w:r>
    </w:p>
    <w:p w14:paraId="33607DBF">
      <w:pPr>
        <w:spacing w:before="100" w:beforeLines="0" w:after="100" w:afterLines="0"/>
        <w:jc w:val="center"/>
        <w:rPr>
          <w:rFonts w:hint="eastAsia" w:ascii="宋体" w:hAnsi="宋体"/>
          <w:sz w:val="24"/>
          <w:szCs w:val="24"/>
          <w:lang w:val="zh-CN"/>
        </w:rPr>
      </w:pPr>
      <w:r>
        <w:rPr>
          <w:rFonts w:hint="eastAsia" w:ascii="宋体" w:hAnsi="宋体"/>
          <w:sz w:val="24"/>
          <w:szCs w:val="24"/>
          <w:lang w:val="zh-CN"/>
        </w:rPr>
        <w:t>陇南市成县博物馆部门决算</w:t>
      </w:r>
    </w:p>
    <w:p w14:paraId="1F756C99">
      <w:pPr>
        <w:spacing w:before="100" w:beforeLines="0" w:after="100" w:afterLines="0"/>
        <w:jc w:val="center"/>
        <w:rPr>
          <w:rFonts w:hint="eastAsia" w:ascii="宋体" w:hAnsi="宋体"/>
          <w:sz w:val="24"/>
          <w:szCs w:val="24"/>
          <w:lang w:val="zh-CN"/>
        </w:rPr>
      </w:pPr>
    </w:p>
    <w:p w14:paraId="70311DB2">
      <w:pPr>
        <w:spacing w:before="100" w:beforeLines="0" w:after="100" w:afterLines="0"/>
        <w:jc w:val="center"/>
        <w:rPr>
          <w:rFonts w:hint="eastAsia" w:ascii="宋体" w:hAnsi="宋体"/>
          <w:sz w:val="24"/>
          <w:szCs w:val="24"/>
          <w:lang w:val="zh-CN"/>
        </w:rPr>
      </w:pPr>
    </w:p>
    <w:p w14:paraId="18AA7973">
      <w:pPr>
        <w:spacing w:before="100" w:beforeLines="0" w:after="100" w:afterLines="0"/>
        <w:jc w:val="center"/>
        <w:rPr>
          <w:rFonts w:hint="eastAsia" w:ascii="宋体" w:hAnsi="宋体"/>
          <w:sz w:val="24"/>
          <w:szCs w:val="24"/>
          <w:lang w:val="zh-CN"/>
        </w:rPr>
      </w:pPr>
    </w:p>
    <w:p w14:paraId="78309B3C">
      <w:pPr>
        <w:spacing w:before="100" w:beforeLines="0" w:after="100" w:afterLines="0"/>
        <w:jc w:val="center"/>
        <w:rPr>
          <w:rFonts w:hint="eastAsia" w:ascii="宋体" w:hAnsi="宋体"/>
          <w:sz w:val="24"/>
          <w:szCs w:val="24"/>
          <w:lang w:val="zh-CN"/>
        </w:rPr>
      </w:pPr>
    </w:p>
    <w:p w14:paraId="6273427B">
      <w:pPr>
        <w:spacing w:before="100" w:beforeLines="0" w:after="100" w:afterLines="0"/>
        <w:jc w:val="center"/>
        <w:rPr>
          <w:rFonts w:hint="eastAsia" w:ascii="宋体" w:hAnsi="宋体"/>
          <w:sz w:val="24"/>
          <w:szCs w:val="24"/>
          <w:lang w:val="zh-CN"/>
        </w:rPr>
      </w:pPr>
    </w:p>
    <w:p w14:paraId="1034D632">
      <w:pPr>
        <w:spacing w:before="100" w:beforeLines="0" w:after="100" w:afterLines="0"/>
        <w:jc w:val="center"/>
        <w:rPr>
          <w:rFonts w:hint="eastAsia" w:ascii="宋体" w:hAnsi="宋体"/>
          <w:sz w:val="24"/>
          <w:szCs w:val="24"/>
          <w:lang w:val="zh-CN"/>
        </w:rPr>
      </w:pPr>
    </w:p>
    <w:p w14:paraId="202E4284">
      <w:pPr>
        <w:spacing w:before="100" w:beforeLines="0" w:after="100" w:afterLines="0"/>
        <w:jc w:val="center"/>
        <w:rPr>
          <w:rFonts w:hint="eastAsia" w:ascii="宋体" w:hAnsi="宋体"/>
          <w:sz w:val="24"/>
          <w:szCs w:val="24"/>
          <w:lang w:val="zh-CN"/>
        </w:rPr>
      </w:pPr>
    </w:p>
    <w:p w14:paraId="46E79199">
      <w:pPr>
        <w:spacing w:before="100" w:beforeLines="0" w:after="100" w:afterLines="0"/>
        <w:jc w:val="center"/>
        <w:rPr>
          <w:rFonts w:hint="eastAsia" w:ascii="宋体" w:hAnsi="宋体"/>
          <w:sz w:val="24"/>
          <w:szCs w:val="24"/>
          <w:lang w:val="zh-CN"/>
        </w:rPr>
      </w:pPr>
    </w:p>
    <w:p w14:paraId="4FF62DD6">
      <w:pPr>
        <w:spacing w:before="100" w:beforeLines="0" w:after="100" w:afterLines="0"/>
        <w:jc w:val="center"/>
        <w:rPr>
          <w:rFonts w:hint="eastAsia" w:ascii="宋体" w:hAnsi="宋体"/>
          <w:sz w:val="24"/>
          <w:szCs w:val="24"/>
          <w:lang w:val="zh-CN"/>
        </w:rPr>
      </w:pPr>
    </w:p>
    <w:p w14:paraId="5D6CF470">
      <w:pPr>
        <w:spacing w:before="100" w:beforeLines="0" w:after="100" w:afterLines="0"/>
        <w:jc w:val="center"/>
        <w:rPr>
          <w:rFonts w:hint="eastAsia" w:ascii="宋体" w:hAnsi="宋体"/>
          <w:sz w:val="24"/>
          <w:szCs w:val="24"/>
          <w:lang w:val="zh-CN"/>
        </w:rPr>
      </w:pPr>
    </w:p>
    <w:p w14:paraId="363E3878">
      <w:pPr>
        <w:spacing w:before="100" w:beforeLines="0" w:after="100" w:afterLines="0"/>
        <w:jc w:val="center"/>
        <w:rPr>
          <w:rFonts w:hint="eastAsia" w:ascii="宋体" w:hAnsi="宋体"/>
          <w:sz w:val="24"/>
          <w:szCs w:val="24"/>
          <w:lang w:val="zh-CN"/>
        </w:rPr>
      </w:pPr>
    </w:p>
    <w:p w14:paraId="2E5E8237">
      <w:pPr>
        <w:spacing w:before="100" w:beforeLines="0" w:after="100" w:afterLines="0"/>
        <w:jc w:val="center"/>
        <w:rPr>
          <w:rFonts w:hint="eastAsia" w:ascii="宋体" w:hAnsi="宋体"/>
          <w:sz w:val="24"/>
          <w:szCs w:val="24"/>
          <w:lang w:val="zh-CN"/>
        </w:rPr>
      </w:pPr>
    </w:p>
    <w:p w14:paraId="0AD9DC5B">
      <w:pPr>
        <w:spacing w:before="100" w:beforeLines="0" w:after="100" w:afterLines="0"/>
        <w:jc w:val="center"/>
        <w:rPr>
          <w:rFonts w:hint="eastAsia" w:ascii="宋体" w:hAnsi="宋体"/>
          <w:sz w:val="24"/>
          <w:szCs w:val="24"/>
          <w:lang w:val="zh-CN"/>
        </w:rPr>
      </w:pPr>
    </w:p>
    <w:p w14:paraId="02E2A473">
      <w:pPr>
        <w:spacing w:before="100" w:beforeLines="0" w:after="100" w:afterLines="0"/>
        <w:jc w:val="center"/>
        <w:rPr>
          <w:rFonts w:hint="eastAsia" w:ascii="宋体" w:hAnsi="宋体"/>
          <w:sz w:val="24"/>
          <w:szCs w:val="24"/>
          <w:lang w:val="zh-CN"/>
        </w:rPr>
      </w:pPr>
    </w:p>
    <w:p w14:paraId="6970386F">
      <w:pPr>
        <w:spacing w:before="100" w:beforeLines="0" w:after="100" w:afterLines="0"/>
        <w:jc w:val="center"/>
        <w:rPr>
          <w:rFonts w:hint="eastAsia" w:ascii="宋体" w:hAnsi="宋体"/>
          <w:sz w:val="24"/>
          <w:szCs w:val="24"/>
          <w:lang w:val="zh-CN"/>
        </w:rPr>
      </w:pPr>
    </w:p>
    <w:p w14:paraId="7D64C0EF">
      <w:pPr>
        <w:spacing w:before="100" w:beforeLines="0" w:after="100" w:afterLines="0"/>
        <w:jc w:val="center"/>
        <w:rPr>
          <w:rFonts w:hint="eastAsia" w:ascii="宋体" w:hAnsi="宋体"/>
          <w:sz w:val="24"/>
          <w:szCs w:val="24"/>
          <w:lang w:val="zh-CN"/>
        </w:rPr>
      </w:pPr>
    </w:p>
    <w:p w14:paraId="37E11D3D">
      <w:pPr>
        <w:spacing w:before="100" w:beforeLines="0" w:after="100" w:afterLines="0"/>
        <w:jc w:val="center"/>
        <w:rPr>
          <w:rFonts w:hint="eastAsia" w:ascii="宋体" w:hAnsi="宋体"/>
          <w:sz w:val="24"/>
          <w:szCs w:val="24"/>
          <w:lang w:val="zh-CN"/>
        </w:rPr>
      </w:pPr>
    </w:p>
    <w:p w14:paraId="610EC3DF">
      <w:pPr>
        <w:spacing w:before="100" w:beforeLines="0" w:after="100" w:afterLines="0"/>
        <w:jc w:val="center"/>
        <w:rPr>
          <w:rFonts w:hint="eastAsia" w:ascii="宋体" w:hAnsi="宋体"/>
          <w:sz w:val="24"/>
          <w:szCs w:val="24"/>
          <w:lang w:val="zh-CN"/>
        </w:rPr>
      </w:pPr>
    </w:p>
    <w:p w14:paraId="7C3F1B37">
      <w:pPr>
        <w:spacing w:before="100" w:beforeLines="0" w:after="100" w:afterLines="0"/>
        <w:jc w:val="center"/>
        <w:rPr>
          <w:rFonts w:hint="eastAsia" w:ascii="宋体" w:hAnsi="宋体"/>
          <w:sz w:val="24"/>
          <w:szCs w:val="24"/>
          <w:lang w:val="zh-CN"/>
        </w:rPr>
      </w:pPr>
      <w:r>
        <w:rPr>
          <w:rFonts w:hint="eastAsia" w:ascii="宋体" w:hAnsi="宋体"/>
          <w:b/>
          <w:sz w:val="24"/>
          <w:szCs w:val="24"/>
          <w:lang w:val="zh-CN"/>
        </w:rPr>
        <w:t>目录</w:t>
      </w:r>
    </w:p>
    <w:p w14:paraId="1A191135">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第一部分部门概况</w:t>
      </w:r>
    </w:p>
    <w:p w14:paraId="3CFDF242">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一、部门职责</w:t>
      </w:r>
    </w:p>
    <w:p w14:paraId="57EEA2EF">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二、机构设置</w:t>
      </w:r>
    </w:p>
    <w:p w14:paraId="3301DD92">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第二部分2023年度部门决算表</w:t>
      </w:r>
    </w:p>
    <w:p w14:paraId="18A64C01">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一、收入支出决算总表</w:t>
      </w:r>
    </w:p>
    <w:p w14:paraId="7DF54F7B">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二、收入决算表</w:t>
      </w:r>
    </w:p>
    <w:p w14:paraId="6739E7FF">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三、支出决算表</w:t>
      </w:r>
    </w:p>
    <w:p w14:paraId="33B40E89">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四、财政拨款收入支出决算总表</w:t>
      </w:r>
    </w:p>
    <w:p w14:paraId="22194336">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五、一般公共预算财政拨款支出决算表</w:t>
      </w:r>
    </w:p>
    <w:p w14:paraId="19D421B8">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六、一般公共预算财政拨款基本支出决算明细表</w:t>
      </w:r>
    </w:p>
    <w:p w14:paraId="2230B76C">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七、政府性基金预算财政拨款收入支出决算表</w:t>
      </w:r>
    </w:p>
    <w:p w14:paraId="46AC590B">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八、国有资本经营预算财政拨款支出决算表</w:t>
      </w:r>
    </w:p>
    <w:p w14:paraId="140285DE">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九、财政拨款</w:t>
      </w:r>
      <w:r>
        <w:rPr>
          <w:rFonts w:hint="default" w:ascii="宋体" w:hAnsi="宋体"/>
          <w:sz w:val="24"/>
          <w:szCs w:val="24"/>
          <w:lang w:val="zh-CN"/>
        </w:rPr>
        <w:t>“</w:t>
      </w:r>
      <w:r>
        <w:rPr>
          <w:rFonts w:hint="eastAsia" w:ascii="宋体" w:hAnsi="宋体"/>
          <w:sz w:val="24"/>
          <w:szCs w:val="24"/>
          <w:lang w:val="zh-CN"/>
        </w:rPr>
        <w:t>三公</w:t>
      </w:r>
      <w:r>
        <w:rPr>
          <w:rFonts w:hint="default" w:ascii="宋体" w:hAnsi="宋体"/>
          <w:sz w:val="24"/>
          <w:szCs w:val="24"/>
          <w:lang w:val="zh-CN"/>
        </w:rPr>
        <w:t>”</w:t>
      </w:r>
      <w:r>
        <w:rPr>
          <w:rFonts w:hint="eastAsia" w:ascii="宋体" w:hAnsi="宋体"/>
          <w:sz w:val="24"/>
          <w:szCs w:val="24"/>
          <w:lang w:val="zh-CN"/>
        </w:rPr>
        <w:t>经费支出决算表</w:t>
      </w:r>
    </w:p>
    <w:p w14:paraId="3C5578CC">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第三部分2023年度部门决算情况说明</w:t>
      </w:r>
    </w:p>
    <w:p w14:paraId="5E5FE145">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一、收入支出决算总体情况说明</w:t>
      </w:r>
    </w:p>
    <w:p w14:paraId="06E97338">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二、收入决算情况说明</w:t>
      </w:r>
    </w:p>
    <w:p w14:paraId="0F57DD0C">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三、支出决算情况说明</w:t>
      </w:r>
    </w:p>
    <w:p w14:paraId="6F9E96D7">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四、财政拨款收入支出决算总体情况说明</w:t>
      </w:r>
    </w:p>
    <w:p w14:paraId="00C8635D">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五、一般公共预算财政拨款支出决算情况说明</w:t>
      </w:r>
    </w:p>
    <w:p w14:paraId="46177A0A">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六、一般公共预算财政拨款基本支出决算情况说明</w:t>
      </w:r>
    </w:p>
    <w:p w14:paraId="565FF8EC">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七、机关运行经费支出情况说明</w:t>
      </w:r>
    </w:p>
    <w:p w14:paraId="37CE91FF">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八、政府采购支出情况说明</w:t>
      </w:r>
    </w:p>
    <w:p w14:paraId="6E076B7E">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九、国有资产占用情况说明</w:t>
      </w:r>
    </w:p>
    <w:p w14:paraId="0BBAE1F4">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十、政府性基金预算财政拨款收支决算情况说明</w:t>
      </w:r>
    </w:p>
    <w:p w14:paraId="0B73A25F">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十一、国有资本经营预算财政拨款支出情况说明</w:t>
      </w:r>
    </w:p>
    <w:p w14:paraId="3AFFFE4F">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十二、财政拨款</w:t>
      </w:r>
      <w:r>
        <w:rPr>
          <w:rFonts w:hint="default" w:ascii="宋体" w:hAnsi="宋体"/>
          <w:sz w:val="24"/>
          <w:szCs w:val="24"/>
          <w:lang w:val="zh-CN"/>
        </w:rPr>
        <w:t>“</w:t>
      </w:r>
      <w:r>
        <w:rPr>
          <w:rFonts w:hint="eastAsia" w:ascii="宋体" w:hAnsi="宋体"/>
          <w:sz w:val="24"/>
          <w:szCs w:val="24"/>
          <w:lang w:val="zh-CN"/>
        </w:rPr>
        <w:t>三公</w:t>
      </w:r>
      <w:r>
        <w:rPr>
          <w:rFonts w:hint="default" w:ascii="宋体" w:hAnsi="宋体"/>
          <w:sz w:val="24"/>
          <w:szCs w:val="24"/>
          <w:lang w:val="zh-CN"/>
        </w:rPr>
        <w:t>”</w:t>
      </w:r>
      <w:r>
        <w:rPr>
          <w:rFonts w:hint="eastAsia" w:ascii="宋体" w:hAnsi="宋体"/>
          <w:sz w:val="24"/>
          <w:szCs w:val="24"/>
          <w:lang w:val="zh-CN"/>
        </w:rPr>
        <w:t>经费支出决算情况说明</w:t>
      </w:r>
    </w:p>
    <w:p w14:paraId="06E709E6">
      <w:pPr>
        <w:spacing w:before="100" w:beforeLines="0" w:after="100" w:afterLines="0"/>
        <w:jc w:val="left"/>
        <w:rPr>
          <w:rFonts w:hint="eastAsia" w:ascii="宋体" w:hAnsi="宋体"/>
          <w:b/>
          <w:sz w:val="24"/>
          <w:szCs w:val="24"/>
          <w:lang w:val="zh-CN"/>
        </w:rPr>
      </w:pPr>
    </w:p>
    <w:p w14:paraId="097253B0">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第四部分预算绩效情况说明</w:t>
      </w:r>
    </w:p>
    <w:p w14:paraId="2CD5EC21">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第五部分名词解释</w:t>
      </w:r>
    </w:p>
    <w:p w14:paraId="592BC7FE">
      <w:pPr>
        <w:spacing w:before="100" w:beforeLines="0" w:after="100" w:afterLines="0"/>
        <w:jc w:val="center"/>
        <w:rPr>
          <w:rFonts w:hint="eastAsia" w:ascii="宋体" w:hAnsi="宋体"/>
          <w:sz w:val="24"/>
          <w:szCs w:val="24"/>
          <w:lang w:val="zh-CN"/>
        </w:rPr>
      </w:pPr>
    </w:p>
    <w:p w14:paraId="66B3665A">
      <w:pPr>
        <w:spacing w:before="100" w:beforeLines="0" w:after="100" w:afterLines="0"/>
        <w:jc w:val="center"/>
        <w:rPr>
          <w:rFonts w:hint="eastAsia" w:ascii="宋体" w:hAnsi="宋体"/>
          <w:sz w:val="24"/>
          <w:szCs w:val="24"/>
          <w:lang w:val="zh-CN"/>
        </w:rPr>
      </w:pPr>
    </w:p>
    <w:p w14:paraId="2C02774F">
      <w:pPr>
        <w:spacing w:before="100" w:beforeLines="0" w:after="100" w:afterLines="0"/>
        <w:jc w:val="center"/>
        <w:rPr>
          <w:rFonts w:hint="eastAsia" w:ascii="宋体" w:hAnsi="宋体"/>
          <w:sz w:val="24"/>
          <w:szCs w:val="24"/>
          <w:lang w:val="zh-CN"/>
        </w:rPr>
      </w:pPr>
    </w:p>
    <w:p w14:paraId="6F455114">
      <w:pPr>
        <w:spacing w:before="100" w:beforeLines="0" w:after="100" w:afterLines="0"/>
        <w:jc w:val="center"/>
        <w:rPr>
          <w:rFonts w:hint="eastAsia" w:ascii="宋体" w:hAnsi="宋体"/>
          <w:sz w:val="24"/>
          <w:szCs w:val="24"/>
          <w:lang w:val="zh-CN"/>
        </w:rPr>
      </w:pPr>
      <w:r>
        <w:rPr>
          <w:rFonts w:hint="eastAsia" w:ascii="宋体" w:hAnsi="宋体"/>
          <w:b/>
          <w:sz w:val="24"/>
          <w:szCs w:val="24"/>
          <w:lang w:val="zh-CN"/>
        </w:rPr>
        <w:t>第一部分部门概况</w:t>
      </w:r>
    </w:p>
    <w:p w14:paraId="5E1DA8B6">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一、部门职责</w:t>
      </w:r>
    </w:p>
    <w:p w14:paraId="29D38E1B">
      <w:pPr>
        <w:spacing w:before="100" w:beforeLines="0" w:after="100" w:afterLines="0"/>
        <w:ind w:firstLine="480" w:firstLineChars="200"/>
        <w:jc w:val="left"/>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成县博物馆职能收藏展览文物，弘扬名族文化。文物征集、鉴定、登编、修复、保管。文物展览  文物及相关研究  文物宣传出版考古发掘。</w:t>
      </w:r>
    </w:p>
    <w:p w14:paraId="2F884887">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二、机构设置</w:t>
      </w:r>
    </w:p>
    <w:p w14:paraId="7E5223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000000" w:themeColor="text1"/>
          <w:sz w:val="24"/>
          <w:szCs w:val="24"/>
          <w:lang w:val="zh-CN"/>
          <w14:textFill>
            <w14:solidFill>
              <w14:schemeClr w14:val="tx1"/>
            </w14:solidFill>
          </w14:textFill>
        </w:rPr>
      </w:pPr>
      <w:r>
        <w:rPr>
          <w:rFonts w:hint="default" w:ascii="宋体" w:hAnsi="宋体"/>
          <w:color w:val="000000" w:themeColor="text1"/>
          <w:sz w:val="24"/>
          <w:szCs w:val="24"/>
          <w:lang w:val="en-US" w:eastAsia="zh-CN"/>
          <w14:textFill>
            <w14:solidFill>
              <w14:schemeClr w14:val="tx1"/>
            </w14:solidFill>
          </w14:textFill>
        </w:rPr>
        <w:t>202</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lang w:val="zh-CN" w:eastAsia="zh-CN"/>
          <w14:textFill>
            <w14:solidFill>
              <w14:schemeClr w14:val="tx1"/>
            </w14:solidFill>
          </w14:textFill>
        </w:rPr>
        <w:t>年</w:t>
      </w:r>
      <w:r>
        <w:rPr>
          <w:rFonts w:hint="eastAsia" w:ascii="宋体" w:hAnsi="宋体"/>
          <w:color w:val="000000" w:themeColor="text1"/>
          <w:sz w:val="24"/>
          <w:szCs w:val="24"/>
          <w:lang w:val="zh-CN"/>
          <w14:textFill>
            <w14:solidFill>
              <w14:schemeClr w14:val="tx1"/>
            </w14:solidFill>
          </w14:textFill>
        </w:rPr>
        <w:t>度成县博物馆部门决算无其他下属单位，只是本单位部门决算。</w:t>
      </w:r>
    </w:p>
    <w:p w14:paraId="6555E3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1、内设机构</w:t>
      </w:r>
    </w:p>
    <w:p w14:paraId="449690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根据</w:t>
      </w:r>
      <w:r>
        <w:rPr>
          <w:rFonts w:hint="eastAsia" w:ascii="宋体" w:hAnsi="宋体"/>
          <w:color w:val="000000" w:themeColor="text1"/>
          <w:sz w:val="24"/>
          <w:szCs w:val="24"/>
          <w:lang w:val="zh-CN" w:eastAsia="zh-CN"/>
          <w14:textFill>
            <w14:solidFill>
              <w14:schemeClr w14:val="tx1"/>
            </w14:solidFill>
          </w14:textFill>
        </w:rPr>
        <w:t>县编办通知</w:t>
      </w:r>
      <w:r>
        <w:rPr>
          <w:rFonts w:hint="eastAsia" w:ascii="宋体" w:hAnsi="宋体"/>
          <w:color w:val="000000" w:themeColor="text1"/>
          <w:sz w:val="24"/>
          <w:szCs w:val="24"/>
          <w:lang w:val="zh-CN"/>
          <w14:textFill>
            <w14:solidFill>
              <w14:schemeClr w14:val="tx1"/>
            </w14:solidFill>
          </w14:textFill>
        </w:rPr>
        <w:t>，</w:t>
      </w:r>
      <w:r>
        <w:rPr>
          <w:rFonts w:hint="eastAsia" w:ascii="宋体" w:hAnsi="宋体"/>
          <w:color w:val="000000" w:themeColor="text1"/>
          <w:sz w:val="24"/>
          <w:szCs w:val="24"/>
          <w:lang w:val="zh-CN" w:eastAsia="zh-CN"/>
          <w14:textFill>
            <w14:solidFill>
              <w14:schemeClr w14:val="tx1"/>
            </w14:solidFill>
          </w14:textFill>
        </w:rPr>
        <w:t>我单位</w:t>
      </w:r>
      <w:r>
        <w:rPr>
          <w:rFonts w:hint="eastAsia" w:ascii="宋体" w:hAnsi="宋体"/>
          <w:color w:val="000000" w:themeColor="text1"/>
          <w:sz w:val="24"/>
          <w:szCs w:val="24"/>
          <w:lang w:val="zh-CN"/>
          <w14:textFill>
            <w14:solidFill>
              <w14:schemeClr w14:val="tx1"/>
            </w14:solidFill>
          </w14:textFill>
        </w:rPr>
        <w:t>内设机构</w:t>
      </w:r>
      <w:r>
        <w:rPr>
          <w:rFonts w:hint="eastAsia" w:ascii="宋体" w:hAnsi="宋体"/>
          <w:color w:val="000000" w:themeColor="text1"/>
          <w:sz w:val="24"/>
          <w:szCs w:val="24"/>
          <w:lang w:val="en-US" w:eastAsia="zh-CN"/>
          <w14:textFill>
            <w14:solidFill>
              <w14:schemeClr w14:val="tx1"/>
            </w14:solidFill>
          </w14:textFill>
        </w:rPr>
        <w:t xml:space="preserve"> 7</w:t>
      </w:r>
      <w:r>
        <w:rPr>
          <w:rFonts w:hint="eastAsia" w:ascii="宋体" w:hAnsi="宋体"/>
          <w:color w:val="000000" w:themeColor="text1"/>
          <w:sz w:val="24"/>
          <w:szCs w:val="24"/>
          <w:lang w:val="zh-CN"/>
          <w14:textFill>
            <w14:solidFill>
              <w14:schemeClr w14:val="tx1"/>
            </w14:solidFill>
          </w14:textFill>
        </w:rPr>
        <w:t>个，即办公室</w:t>
      </w:r>
      <w:r>
        <w:rPr>
          <w:rFonts w:hint="eastAsia" w:ascii="宋体" w:hAnsi="宋体"/>
          <w:color w:val="000000" w:themeColor="text1"/>
          <w:sz w:val="24"/>
          <w:szCs w:val="24"/>
          <w:lang w:val="zh-CN" w:eastAsia="zh-CN"/>
          <w14:textFill>
            <w14:solidFill>
              <w14:schemeClr w14:val="tx1"/>
            </w14:solidFill>
          </w14:textFill>
        </w:rPr>
        <w:t>、陈展部</w:t>
      </w:r>
      <w:r>
        <w:rPr>
          <w:rFonts w:hint="eastAsia" w:ascii="宋体" w:hAnsi="宋体"/>
          <w:color w:val="000000" w:themeColor="text1"/>
          <w:sz w:val="24"/>
          <w:szCs w:val="24"/>
          <w:lang w:val="zh-CN"/>
          <w14:textFill>
            <w14:solidFill>
              <w14:schemeClr w14:val="tx1"/>
            </w14:solidFill>
          </w14:textFill>
        </w:rPr>
        <w:t>、</w:t>
      </w:r>
      <w:r>
        <w:rPr>
          <w:rFonts w:hint="eastAsia" w:ascii="宋体" w:hAnsi="宋体"/>
          <w:color w:val="000000" w:themeColor="text1"/>
          <w:sz w:val="24"/>
          <w:szCs w:val="24"/>
          <w:lang w:val="zh-CN" w:eastAsia="zh-CN"/>
          <w14:textFill>
            <w14:solidFill>
              <w14:schemeClr w14:val="tx1"/>
            </w14:solidFill>
          </w14:textFill>
        </w:rPr>
        <w:t>宣教部</w:t>
      </w:r>
      <w:r>
        <w:rPr>
          <w:rFonts w:hint="eastAsia" w:ascii="宋体" w:hAnsi="宋体"/>
          <w:color w:val="000000" w:themeColor="text1"/>
          <w:sz w:val="24"/>
          <w:szCs w:val="24"/>
          <w:lang w:val="zh-CN"/>
          <w14:textFill>
            <w14:solidFill>
              <w14:schemeClr w14:val="tx1"/>
            </w14:solidFill>
          </w14:textFill>
        </w:rPr>
        <w:t>、</w:t>
      </w:r>
      <w:r>
        <w:rPr>
          <w:rFonts w:hint="eastAsia" w:ascii="宋体" w:hAnsi="宋体"/>
          <w:color w:val="000000" w:themeColor="text1"/>
          <w:sz w:val="24"/>
          <w:szCs w:val="24"/>
          <w:lang w:val="zh-CN" w:eastAsia="zh-CN"/>
          <w14:textFill>
            <w14:solidFill>
              <w14:schemeClr w14:val="tx1"/>
            </w14:solidFill>
          </w14:textFill>
        </w:rPr>
        <w:t>档案室</w:t>
      </w:r>
      <w:r>
        <w:rPr>
          <w:rFonts w:hint="eastAsia" w:ascii="宋体" w:hAnsi="宋体"/>
          <w:color w:val="000000" w:themeColor="text1"/>
          <w:sz w:val="24"/>
          <w:szCs w:val="24"/>
          <w:lang w:val="zh-CN"/>
          <w14:textFill>
            <w14:solidFill>
              <w14:schemeClr w14:val="tx1"/>
            </w14:solidFill>
          </w14:textFill>
        </w:rPr>
        <w:t>、</w:t>
      </w:r>
      <w:r>
        <w:rPr>
          <w:rFonts w:hint="eastAsia" w:ascii="宋体" w:hAnsi="宋体"/>
          <w:color w:val="000000" w:themeColor="text1"/>
          <w:sz w:val="24"/>
          <w:szCs w:val="24"/>
          <w:lang w:val="zh-CN" w:eastAsia="zh-CN"/>
          <w14:textFill>
            <w14:solidFill>
              <w14:schemeClr w14:val="tx1"/>
            </w14:solidFill>
          </w14:textFill>
        </w:rPr>
        <w:t>财务室</w:t>
      </w:r>
      <w:r>
        <w:rPr>
          <w:rFonts w:hint="eastAsia" w:ascii="宋体" w:hAnsi="宋体"/>
          <w:color w:val="000000" w:themeColor="text1"/>
          <w:sz w:val="24"/>
          <w:szCs w:val="24"/>
          <w:lang w:val="zh-CN"/>
          <w14:textFill>
            <w14:solidFill>
              <w14:schemeClr w14:val="tx1"/>
            </w14:solidFill>
          </w14:textFill>
        </w:rPr>
        <w:t>、</w:t>
      </w:r>
      <w:r>
        <w:rPr>
          <w:rFonts w:hint="eastAsia" w:ascii="宋体" w:hAnsi="宋体"/>
          <w:color w:val="000000" w:themeColor="text1"/>
          <w:sz w:val="24"/>
          <w:szCs w:val="24"/>
          <w:lang w:val="zh-CN" w:eastAsia="zh-CN"/>
          <w14:textFill>
            <w14:solidFill>
              <w14:schemeClr w14:val="tx1"/>
            </w14:solidFill>
          </w14:textFill>
        </w:rPr>
        <w:t>安全保卫室</w:t>
      </w:r>
      <w:r>
        <w:rPr>
          <w:rFonts w:hint="eastAsia" w:ascii="宋体" w:hAnsi="宋体"/>
          <w:color w:val="000000" w:themeColor="text1"/>
          <w:sz w:val="24"/>
          <w:szCs w:val="24"/>
          <w:lang w:val="zh-CN"/>
          <w14:textFill>
            <w14:solidFill>
              <w14:schemeClr w14:val="tx1"/>
            </w14:solidFill>
          </w14:textFill>
        </w:rPr>
        <w:t>、</w:t>
      </w:r>
      <w:r>
        <w:rPr>
          <w:rFonts w:hint="eastAsia" w:ascii="宋体" w:hAnsi="宋体"/>
          <w:color w:val="000000" w:themeColor="text1"/>
          <w:sz w:val="24"/>
          <w:szCs w:val="24"/>
          <w:lang w:val="zh-CN" w:eastAsia="zh-CN"/>
          <w14:textFill>
            <w14:solidFill>
              <w14:schemeClr w14:val="tx1"/>
            </w14:solidFill>
          </w14:textFill>
        </w:rPr>
        <w:t>信息中心。</w:t>
      </w:r>
    </w:p>
    <w:p w14:paraId="0BB9086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 xml:space="preserve">2、人员编制 </w:t>
      </w:r>
    </w:p>
    <w:p w14:paraId="664677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根据</w:t>
      </w:r>
      <w:r>
        <w:rPr>
          <w:rFonts w:hint="eastAsia" w:ascii="宋体" w:hAnsi="宋体"/>
          <w:color w:val="000000" w:themeColor="text1"/>
          <w:sz w:val="24"/>
          <w:szCs w:val="24"/>
          <w:lang w:val="zh-CN" w:eastAsia="zh-CN"/>
          <w14:textFill>
            <w14:solidFill>
              <w14:schemeClr w14:val="tx1"/>
            </w14:solidFill>
          </w14:textFill>
        </w:rPr>
        <w:t>县编制部门核定我单位</w:t>
      </w:r>
      <w:r>
        <w:rPr>
          <w:rFonts w:hint="eastAsia" w:ascii="宋体" w:hAnsi="宋体"/>
          <w:color w:val="000000" w:themeColor="text1"/>
          <w:sz w:val="24"/>
          <w:szCs w:val="24"/>
          <w:lang w:val="zh-CN"/>
          <w14:textFill>
            <w14:solidFill>
              <w14:schemeClr w14:val="tx1"/>
            </w14:solidFill>
          </w14:textFill>
        </w:rPr>
        <w:t>事业编制</w:t>
      </w:r>
      <w:r>
        <w:rPr>
          <w:rFonts w:hint="eastAsia" w:ascii="宋体" w:hAnsi="宋体"/>
          <w:color w:val="000000" w:themeColor="text1"/>
          <w:sz w:val="24"/>
          <w:szCs w:val="24"/>
          <w:lang w:val="en-US" w:eastAsia="zh-CN"/>
          <w14:textFill>
            <w14:solidFill>
              <w14:schemeClr w14:val="tx1"/>
            </w14:solidFill>
          </w14:textFill>
        </w:rPr>
        <w:t xml:space="preserve"> 10 </w:t>
      </w:r>
      <w:r>
        <w:rPr>
          <w:rFonts w:hint="eastAsia" w:ascii="宋体" w:hAnsi="宋体"/>
          <w:color w:val="000000" w:themeColor="text1"/>
          <w:sz w:val="24"/>
          <w:szCs w:val="24"/>
          <w:lang w:val="zh-CN"/>
          <w14:textFill>
            <w14:solidFill>
              <w14:schemeClr w14:val="tx1"/>
            </w14:solidFill>
          </w14:textFill>
        </w:rPr>
        <w:t>名，实有人数</w:t>
      </w:r>
      <w:r>
        <w:rPr>
          <w:rFonts w:hint="eastAsia" w:ascii="宋体" w:hAnsi="宋体"/>
          <w:color w:val="000000" w:themeColor="text1"/>
          <w:sz w:val="24"/>
          <w:szCs w:val="24"/>
          <w:lang w:val="en-US" w:eastAsia="zh-CN"/>
          <w14:textFill>
            <w14:solidFill>
              <w14:schemeClr w14:val="tx1"/>
            </w14:solidFill>
          </w14:textFill>
        </w:rPr>
        <w:t xml:space="preserve"> 9 </w:t>
      </w:r>
      <w:r>
        <w:rPr>
          <w:rFonts w:hint="eastAsia" w:ascii="宋体" w:hAnsi="宋体"/>
          <w:color w:val="000000" w:themeColor="text1"/>
          <w:sz w:val="24"/>
          <w:szCs w:val="24"/>
          <w:lang w:val="zh-CN"/>
          <w14:textFill>
            <w14:solidFill>
              <w14:schemeClr w14:val="tx1"/>
            </w14:solidFill>
          </w14:textFill>
        </w:rPr>
        <w:t>名；</w:t>
      </w:r>
    </w:p>
    <w:p w14:paraId="28210FDA">
      <w:pPr>
        <w:spacing w:before="100" w:beforeLines="0" w:after="100" w:afterLines="0"/>
        <w:jc w:val="center"/>
        <w:rPr>
          <w:rFonts w:hint="eastAsia" w:ascii="宋体" w:hAnsi="宋体"/>
          <w:color w:val="auto"/>
          <w:sz w:val="24"/>
          <w:szCs w:val="24"/>
          <w:lang w:val="zh-CN"/>
        </w:rPr>
      </w:pPr>
      <w:r>
        <w:rPr>
          <w:rFonts w:hint="eastAsia" w:ascii="宋体" w:hAnsi="宋体"/>
          <w:b/>
          <w:color w:val="auto"/>
          <w:sz w:val="24"/>
          <w:szCs w:val="24"/>
          <w:lang w:val="zh-CN"/>
        </w:rPr>
        <w:t>第二部分2023年度部门决算表</w:t>
      </w:r>
    </w:p>
    <w:p w14:paraId="3D7BDEBC">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一、收入支出决算总表</w:t>
      </w:r>
    </w:p>
    <w:p w14:paraId="24611FD0">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二、收入决算表</w:t>
      </w:r>
    </w:p>
    <w:p w14:paraId="13994CFD">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三、支出决算表</w:t>
      </w:r>
    </w:p>
    <w:p w14:paraId="277CE957">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四、财政拨款收入支出决算总表</w:t>
      </w:r>
    </w:p>
    <w:p w14:paraId="7B1D885C">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五、一般公共预算财政拨款支出决算表</w:t>
      </w:r>
    </w:p>
    <w:p w14:paraId="2B3DEDDC">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六、一般公共预算财政拨款基本支出决算明细表</w:t>
      </w:r>
    </w:p>
    <w:p w14:paraId="121B0017">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七、政府性基金预算财政拨款收入支出决算表</w:t>
      </w:r>
    </w:p>
    <w:p w14:paraId="6BAB92B9">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八、国有资本经营预算财政拨款支出决算表</w:t>
      </w:r>
    </w:p>
    <w:p w14:paraId="6384B418">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九、财政拨款</w:t>
      </w:r>
      <w:r>
        <w:rPr>
          <w:rFonts w:hint="default" w:ascii="宋体" w:hAnsi="宋体"/>
          <w:color w:val="auto"/>
          <w:sz w:val="24"/>
          <w:szCs w:val="24"/>
          <w:lang w:val="zh-CN"/>
        </w:rPr>
        <w:t>“</w:t>
      </w:r>
      <w:r>
        <w:rPr>
          <w:rFonts w:hint="eastAsia" w:ascii="宋体" w:hAnsi="宋体"/>
          <w:color w:val="auto"/>
          <w:sz w:val="24"/>
          <w:szCs w:val="24"/>
          <w:lang w:val="zh-CN"/>
        </w:rPr>
        <w:t>三公</w:t>
      </w:r>
      <w:r>
        <w:rPr>
          <w:rFonts w:hint="default" w:ascii="宋体" w:hAnsi="宋体"/>
          <w:color w:val="auto"/>
          <w:sz w:val="24"/>
          <w:szCs w:val="24"/>
          <w:lang w:val="zh-CN"/>
        </w:rPr>
        <w:t>”</w:t>
      </w:r>
      <w:r>
        <w:rPr>
          <w:rFonts w:hint="eastAsia" w:ascii="宋体" w:hAnsi="宋体"/>
          <w:color w:val="auto"/>
          <w:sz w:val="24"/>
          <w:szCs w:val="24"/>
          <w:lang w:val="zh-CN"/>
        </w:rPr>
        <w:t>经费支出决算表</w:t>
      </w:r>
    </w:p>
    <w:p w14:paraId="51765FCE">
      <w:pPr>
        <w:spacing w:before="100" w:beforeLines="0" w:after="100" w:afterLines="0"/>
        <w:jc w:val="both"/>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以上九张表详见附表</w:t>
      </w:r>
      <w:r>
        <w:rPr>
          <w:rFonts w:hint="eastAsia" w:ascii="宋体" w:hAnsi="宋体"/>
          <w:color w:val="000000" w:themeColor="text1"/>
          <w:sz w:val="24"/>
          <w:szCs w:val="24"/>
          <w:lang w:val="zh-CN"/>
          <w14:textFill>
            <w14:solidFill>
              <w14:schemeClr w14:val="tx1"/>
            </w14:solidFill>
          </w14:textFill>
        </w:rPr>
        <w:t>）</w:t>
      </w:r>
    </w:p>
    <w:p w14:paraId="2170C0B7">
      <w:pPr>
        <w:spacing w:before="100" w:beforeLines="0" w:after="100" w:afterLines="0"/>
        <w:jc w:val="center"/>
        <w:rPr>
          <w:rFonts w:hint="eastAsia" w:ascii="宋体" w:hAnsi="宋体"/>
          <w:color w:val="auto"/>
          <w:sz w:val="24"/>
          <w:szCs w:val="24"/>
          <w:lang w:val="zh-CN"/>
        </w:rPr>
      </w:pPr>
      <w:r>
        <w:rPr>
          <w:rFonts w:hint="eastAsia" w:ascii="宋体" w:hAnsi="宋体"/>
          <w:b/>
          <w:color w:val="auto"/>
          <w:sz w:val="24"/>
          <w:szCs w:val="24"/>
          <w:lang w:val="zh-CN"/>
        </w:rPr>
        <w:t>第三部分2023年度部门决算情况说明</w:t>
      </w:r>
    </w:p>
    <w:p w14:paraId="5C56675B">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一、收入支出决算总体情况说明</w:t>
      </w:r>
    </w:p>
    <w:p w14:paraId="06DB6324">
      <w:pPr>
        <w:spacing w:before="100" w:beforeLines="0" w:after="100" w:afterLines="0"/>
        <w:jc w:val="left"/>
        <w:rPr>
          <w:rFonts w:hint="eastAsia" w:ascii="宋体" w:hAnsi="宋体"/>
          <w:color w:val="auto"/>
          <w:sz w:val="24"/>
          <w:szCs w:val="24"/>
          <w:lang w:val="en-US" w:eastAsia="zh-CN"/>
        </w:rPr>
      </w:pPr>
      <w:r>
        <w:rPr>
          <w:rFonts w:hint="eastAsia" w:ascii="宋体" w:hAnsi="宋体"/>
          <w:color w:val="auto"/>
          <w:sz w:val="24"/>
          <w:szCs w:val="24"/>
          <w:lang w:val="zh-CN"/>
        </w:rPr>
        <w:t>2023年度收、支总计</w:t>
      </w:r>
      <w:r>
        <w:rPr>
          <w:rFonts w:hint="eastAsia" w:ascii="宋体" w:hAnsi="宋体"/>
          <w:color w:val="auto"/>
          <w:sz w:val="24"/>
          <w:szCs w:val="24"/>
          <w:lang w:val="en-US"/>
        </w:rPr>
        <w:t>均为</w:t>
      </w:r>
      <w:r>
        <w:rPr>
          <w:rFonts w:hint="eastAsia" w:ascii="宋体" w:hAnsi="宋体"/>
          <w:color w:val="auto"/>
          <w:sz w:val="24"/>
          <w:szCs w:val="24"/>
          <w:lang w:val="zh-CN"/>
        </w:rPr>
        <w:t>365.99万元。</w:t>
      </w:r>
      <w:r>
        <w:rPr>
          <w:rFonts w:hint="eastAsia" w:ascii="宋体" w:hAnsi="宋体"/>
          <w:color w:val="auto"/>
          <w:sz w:val="24"/>
          <w:szCs w:val="24"/>
          <w:lang w:val="en-US"/>
        </w:rPr>
        <w:t>与上年度相比,</w:t>
      </w:r>
      <w:r>
        <w:rPr>
          <w:rFonts w:hint="eastAsia" w:ascii="宋体" w:hAnsi="宋体"/>
          <w:color w:val="auto"/>
          <w:sz w:val="24"/>
          <w:szCs w:val="24"/>
          <w:lang w:val="zh-CN"/>
        </w:rPr>
        <w:t>收、支</w:t>
      </w:r>
      <w:r>
        <w:rPr>
          <w:rFonts w:hint="eastAsia" w:ascii="宋体" w:hAnsi="宋体"/>
          <w:color w:val="auto"/>
          <w:sz w:val="24"/>
          <w:szCs w:val="24"/>
          <w:lang w:val="en-US"/>
        </w:rPr>
        <w:t>总计各</w:t>
      </w:r>
      <w:r>
        <w:rPr>
          <w:rFonts w:hint="eastAsia" w:ascii="宋体" w:hAnsi="宋体"/>
          <w:color w:val="auto"/>
          <w:sz w:val="24"/>
          <w:szCs w:val="24"/>
          <w:lang w:val="zh-CN"/>
        </w:rPr>
        <w:t>增加150.32万元,增长69.7%,</w:t>
      </w:r>
      <w:bookmarkStart w:id="0" w:name="OLE_LINK1"/>
      <w:r>
        <w:rPr>
          <w:rFonts w:hint="eastAsia" w:ascii="宋体" w:hAnsi="宋体"/>
          <w:color w:val="auto"/>
          <w:sz w:val="24"/>
          <w:szCs w:val="24"/>
          <w:lang w:val="zh-CN"/>
        </w:rPr>
        <w:t>主要原因是</w:t>
      </w:r>
      <w:r>
        <w:rPr>
          <w:rFonts w:hint="eastAsia" w:ascii="宋体" w:hAnsi="宋体"/>
          <w:color w:val="auto"/>
          <w:sz w:val="24"/>
          <w:szCs w:val="24"/>
          <w:lang w:val="en-US" w:eastAsia="zh-CN"/>
        </w:rPr>
        <w:t>2023年我单位增加2个项目</w:t>
      </w:r>
      <w:bookmarkEnd w:id="0"/>
      <w:r>
        <w:rPr>
          <w:rFonts w:hint="eastAsia" w:ascii="宋体" w:hAnsi="宋体"/>
          <w:color w:val="auto"/>
          <w:sz w:val="24"/>
          <w:szCs w:val="24"/>
          <w:lang w:val="en-US" w:eastAsia="zh-CN"/>
        </w:rPr>
        <w:t>。</w:t>
      </w:r>
    </w:p>
    <w:p w14:paraId="17E98AFB">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二、收入决算情况说明</w:t>
      </w:r>
    </w:p>
    <w:p w14:paraId="0BDF48BA">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2023年度收入合计365.99万元,其中：财政拨款收入365.99万元,占100.00%；</w:t>
      </w:r>
    </w:p>
    <w:p w14:paraId="0AB80197">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三、支出决算情况说明</w:t>
      </w:r>
    </w:p>
    <w:p w14:paraId="5DBDEB6A">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2023年度支出合计365.99万元,其中：基本支出115.67万元,占31.60%；项目支出250.32万元,占68.40%；</w:t>
      </w:r>
    </w:p>
    <w:p w14:paraId="5E6A1943">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四、财政拨款收入支出决算总体情况说明</w:t>
      </w:r>
    </w:p>
    <w:p w14:paraId="1AB5D579">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2023年度财政拨款收、支总计</w:t>
      </w:r>
      <w:r>
        <w:rPr>
          <w:rFonts w:hint="eastAsia" w:ascii="宋体" w:hAnsi="宋体"/>
          <w:color w:val="auto"/>
          <w:sz w:val="24"/>
          <w:szCs w:val="24"/>
          <w:lang w:val="en-US"/>
        </w:rPr>
        <w:t>均为</w:t>
      </w:r>
      <w:r>
        <w:rPr>
          <w:rFonts w:hint="eastAsia" w:ascii="宋体" w:hAnsi="宋体"/>
          <w:color w:val="auto"/>
          <w:sz w:val="24"/>
          <w:szCs w:val="24"/>
          <w:lang w:val="zh-CN"/>
        </w:rPr>
        <w:t>365.99万元。与</w:t>
      </w:r>
      <w:r>
        <w:rPr>
          <w:rFonts w:hint="eastAsia" w:ascii="宋体" w:hAnsi="宋体"/>
          <w:color w:val="auto"/>
          <w:sz w:val="24"/>
          <w:szCs w:val="24"/>
          <w:lang w:val="en-US"/>
        </w:rPr>
        <w:t>上</w:t>
      </w:r>
      <w:r>
        <w:rPr>
          <w:rFonts w:hint="eastAsia" w:ascii="宋体" w:hAnsi="宋体"/>
          <w:color w:val="auto"/>
          <w:sz w:val="24"/>
          <w:szCs w:val="24"/>
          <w:lang w:val="zh-CN"/>
        </w:rPr>
        <w:t>年相比,各增加150.32万元,增长69.7%。主要原因是</w:t>
      </w:r>
      <w:r>
        <w:rPr>
          <w:rFonts w:hint="eastAsia" w:ascii="宋体" w:hAnsi="宋体"/>
          <w:color w:val="auto"/>
          <w:sz w:val="24"/>
          <w:szCs w:val="24"/>
          <w:lang w:val="en-US" w:eastAsia="zh-CN"/>
        </w:rPr>
        <w:t>2023年我单位增加2个项目。</w:t>
      </w:r>
    </w:p>
    <w:p w14:paraId="7624B899">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五、一般公共预算财政拨款支出决算情况说明</w:t>
      </w:r>
    </w:p>
    <w:p w14:paraId="419C9A47">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（一）一般公共预算财政拨款支出决算总体情况</w:t>
      </w:r>
    </w:p>
    <w:p w14:paraId="15742721">
      <w:pPr>
        <w:spacing w:before="100" w:beforeLines="0" w:after="100" w:afterLines="0"/>
        <w:jc w:val="left"/>
        <w:rPr>
          <w:rFonts w:hint="eastAsia" w:ascii="宋体" w:hAnsi="宋体"/>
          <w:color w:val="FF0000"/>
          <w:sz w:val="24"/>
          <w:szCs w:val="24"/>
          <w:lang w:val="zh-CN"/>
        </w:rPr>
      </w:pPr>
      <w:r>
        <w:rPr>
          <w:rFonts w:hint="eastAsia" w:ascii="宋体" w:hAnsi="宋体"/>
          <w:color w:val="auto"/>
          <w:sz w:val="24"/>
          <w:szCs w:val="24"/>
          <w:lang w:val="zh-CN"/>
        </w:rPr>
        <w:t>2023年度一般公共预算财政拨款支出365.99万元,较上年决算数增加150.32万元,增长69.7%。</w:t>
      </w:r>
      <w:bookmarkStart w:id="1" w:name="OLE_LINK4"/>
      <w:r>
        <w:rPr>
          <w:rFonts w:hint="eastAsia" w:ascii="宋体" w:hAnsi="宋体"/>
          <w:color w:val="auto"/>
          <w:sz w:val="24"/>
          <w:szCs w:val="24"/>
          <w:lang w:val="zh-CN"/>
        </w:rPr>
        <w:t>主要原因是</w:t>
      </w:r>
      <w:r>
        <w:rPr>
          <w:rFonts w:hint="eastAsia" w:ascii="宋体" w:hAnsi="宋体"/>
          <w:color w:val="auto"/>
          <w:sz w:val="24"/>
          <w:szCs w:val="24"/>
          <w:lang w:val="en-US" w:eastAsia="zh-CN"/>
        </w:rPr>
        <w:t>2023年我单位增加2个项目</w:t>
      </w:r>
      <w:bookmarkEnd w:id="1"/>
      <w:r>
        <w:rPr>
          <w:rFonts w:hint="eastAsia" w:ascii="宋体" w:hAnsi="宋体"/>
          <w:color w:val="auto"/>
          <w:sz w:val="24"/>
          <w:szCs w:val="24"/>
          <w:lang w:val="zh-CN"/>
        </w:rPr>
        <w:t>。</w:t>
      </w:r>
    </w:p>
    <w:p w14:paraId="5C79F491">
      <w:pPr>
        <w:numPr>
          <w:ilvl w:val="0"/>
          <w:numId w:val="1"/>
        </w:numPr>
        <w:spacing w:before="100" w:beforeLines="0" w:after="100" w:afterLines="0"/>
        <w:jc w:val="left"/>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一般公共预算财政拨款支出决算结构情况</w:t>
      </w:r>
    </w:p>
    <w:p w14:paraId="6F63D429">
      <w:pPr>
        <w:numPr>
          <w:ilvl w:val="0"/>
          <w:numId w:val="0"/>
        </w:numPr>
        <w:spacing w:before="100" w:beforeLines="0" w:after="100" w:afterLines="0"/>
        <w:jc w:val="left"/>
        <w:rPr>
          <w:rFonts w:hint="eastAsia" w:ascii="宋体" w:hAnsi="宋体"/>
          <w:color w:val="FF0000"/>
          <w:sz w:val="24"/>
          <w:szCs w:val="24"/>
          <w:lang w:val="zh-CN"/>
        </w:rPr>
      </w:pPr>
      <w:r>
        <w:rPr>
          <w:rFonts w:hint="eastAsia" w:ascii="宋体" w:hAnsi="宋体"/>
          <w:color w:val="000000" w:themeColor="text1"/>
          <w:sz w:val="24"/>
          <w:szCs w:val="24"/>
          <w:lang w:val="en-US" w:eastAsia="zh-CN"/>
          <w14:textFill>
            <w14:solidFill>
              <w14:schemeClr w14:val="tx1"/>
            </w14:solidFill>
          </w14:textFill>
        </w:rPr>
        <w:t>2023年度一般公共预算财政拨款支出</w:t>
      </w:r>
      <w:r>
        <w:rPr>
          <w:rFonts w:hint="eastAsia" w:ascii="宋体" w:hAnsi="宋体"/>
          <w:color w:val="auto"/>
          <w:sz w:val="24"/>
          <w:szCs w:val="24"/>
          <w:lang w:val="zh-CN"/>
        </w:rPr>
        <w:t>365.99万元，文化旅游体育与传媒支出337.16万元，占92.12%；社会保障和就业支出14.06万元,占3.84%；卫生健康支出6.00万元,占1.64%；农林水支出1.00万元,占0.27%；住房保障支出7.77万元,占2.12%；</w:t>
      </w:r>
    </w:p>
    <w:p w14:paraId="33B2C9E0">
      <w:pPr>
        <w:numPr>
          <w:ilvl w:val="0"/>
          <w:numId w:val="1"/>
        </w:numPr>
        <w:spacing w:before="100" w:beforeLines="0" w:after="100" w:afterLines="0"/>
        <w:ind w:left="0" w:leftChars="0" w:firstLine="0" w:firstLineChars="0"/>
        <w:jc w:val="left"/>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一般公共预算财政拨款支出决算具体情况。</w:t>
      </w:r>
    </w:p>
    <w:p w14:paraId="5B535ECA">
      <w:pPr>
        <w:numPr>
          <w:ilvl w:val="0"/>
          <w:numId w:val="0"/>
        </w:numPr>
        <w:spacing w:before="100" w:beforeLines="0" w:after="100" w:afterLines="0"/>
        <w:ind w:leftChars="0"/>
        <w:jc w:val="left"/>
        <w:rPr>
          <w:rFonts w:hint="eastAsia" w:ascii="宋体" w:hAnsi="宋体"/>
          <w:color w:val="auto"/>
          <w:sz w:val="24"/>
          <w:szCs w:val="24"/>
          <w:lang w:val="zh-CN"/>
        </w:rPr>
      </w:pPr>
      <w:r>
        <w:rPr>
          <w:rFonts w:hint="eastAsia" w:ascii="宋体" w:hAnsi="宋体"/>
          <w:color w:val="000000" w:themeColor="text1"/>
          <w:sz w:val="24"/>
          <w:szCs w:val="24"/>
          <w:lang w:val="en-US" w:eastAsia="zh-CN"/>
          <w14:textFill>
            <w14:solidFill>
              <w14:schemeClr w14:val="tx1"/>
            </w14:solidFill>
          </w14:textFill>
        </w:rPr>
        <w:t>2023年度一般公共预算财政拨款支出年初预算为</w:t>
      </w:r>
      <w:r>
        <w:rPr>
          <w:rFonts w:hint="eastAsia" w:ascii="宋体" w:hAnsi="宋体"/>
          <w:color w:val="auto"/>
          <w:sz w:val="24"/>
          <w:szCs w:val="24"/>
          <w:lang w:val="zh-CN"/>
        </w:rPr>
        <w:t>108.60万元,支出决算为365.99万元,完成年初预算的337.02%。其中：</w:t>
      </w:r>
    </w:p>
    <w:p w14:paraId="376A428E">
      <w:pPr>
        <w:numPr>
          <w:ilvl w:val="0"/>
          <w:numId w:val="2"/>
        </w:numPr>
        <w:spacing w:before="100" w:beforeLines="0" w:after="100" w:afterLines="0"/>
        <w:jc w:val="left"/>
        <w:rPr>
          <w:rFonts w:hint="eastAsia" w:ascii="宋体" w:hAnsi="宋体"/>
          <w:color w:val="auto"/>
          <w:sz w:val="24"/>
          <w:szCs w:val="24"/>
          <w:lang w:val="en-US" w:eastAsia="zh-CN"/>
        </w:rPr>
      </w:pPr>
      <w:r>
        <w:rPr>
          <w:rFonts w:hint="eastAsia" w:ascii="宋体" w:hAnsi="宋体"/>
          <w:b/>
          <w:color w:val="auto"/>
          <w:sz w:val="24"/>
          <w:szCs w:val="24"/>
          <w:lang w:val="zh-CN"/>
        </w:rPr>
        <w:t>文化旅游体育与传媒支出</w:t>
      </w:r>
      <w:r>
        <w:rPr>
          <w:rFonts w:hint="eastAsia" w:ascii="宋体" w:hAnsi="宋体"/>
          <w:color w:val="auto"/>
          <w:sz w:val="24"/>
          <w:szCs w:val="24"/>
          <w:lang w:val="zh-CN"/>
        </w:rPr>
        <w:t>年初预算数为84.35万元,支出决算为337.16万元,完成年初预算的399.71%,决算数大于预算数的主要原因是</w:t>
      </w:r>
      <w:r>
        <w:rPr>
          <w:rFonts w:hint="eastAsia" w:ascii="宋体" w:hAnsi="宋体"/>
          <w:color w:val="auto"/>
          <w:sz w:val="24"/>
          <w:szCs w:val="24"/>
          <w:lang w:val="en-US" w:eastAsia="zh-CN"/>
        </w:rPr>
        <w:t>2023年我单位增加2个项目。</w:t>
      </w:r>
    </w:p>
    <w:p w14:paraId="3BE3EFD6">
      <w:pPr>
        <w:numPr>
          <w:ilvl w:val="0"/>
          <w:numId w:val="0"/>
        </w:numPr>
        <w:spacing w:before="100" w:beforeLines="0" w:after="100" w:afterLines="0"/>
        <w:jc w:val="left"/>
        <w:rPr>
          <w:rFonts w:hint="eastAsia" w:ascii="宋体" w:hAnsi="宋体"/>
          <w:color w:val="auto"/>
          <w:sz w:val="24"/>
          <w:szCs w:val="24"/>
          <w:lang w:val="en-US" w:eastAsia="zh-CN"/>
        </w:rPr>
      </w:pPr>
      <w:r>
        <w:rPr>
          <w:rFonts w:hint="eastAsia" w:ascii="Times New Roman" w:hAnsi="Times New Roman" w:eastAsia="宋体"/>
          <w:b/>
          <w:color w:val="auto"/>
          <w:sz w:val="24"/>
          <w:szCs w:val="24"/>
          <w:lang w:val="en-US" w:eastAsia="zh-CN"/>
        </w:rPr>
        <w:t>2</w:t>
      </w:r>
      <w:r>
        <w:rPr>
          <w:rFonts w:hint="eastAsia" w:ascii="宋体" w:hAnsi="宋体"/>
          <w:b/>
          <w:color w:val="auto"/>
          <w:sz w:val="24"/>
          <w:szCs w:val="24"/>
          <w:lang w:val="zh-CN"/>
        </w:rPr>
        <w:t>．社会保障和就业支出</w:t>
      </w:r>
      <w:r>
        <w:rPr>
          <w:rFonts w:hint="eastAsia" w:ascii="宋体" w:hAnsi="宋体"/>
          <w:color w:val="auto"/>
          <w:sz w:val="24"/>
          <w:szCs w:val="24"/>
          <w:lang w:val="zh-CN"/>
        </w:rPr>
        <w:t>年初预算数为10.28万元,支出决算为14.06万元,完成年初预算的136.83%,决算数大于预算数的</w:t>
      </w:r>
      <w:bookmarkStart w:id="2" w:name="OLE_LINK3"/>
      <w:bookmarkStart w:id="3" w:name="OLE_LINK2"/>
      <w:r>
        <w:rPr>
          <w:rFonts w:hint="eastAsia" w:ascii="宋体" w:hAnsi="宋体"/>
          <w:color w:val="auto"/>
          <w:sz w:val="24"/>
          <w:szCs w:val="24"/>
          <w:lang w:val="zh-CN"/>
        </w:rPr>
        <w:t>主要原因是</w:t>
      </w:r>
      <w:r>
        <w:rPr>
          <w:rFonts w:hint="eastAsia" w:ascii="宋体" w:hAnsi="宋体"/>
          <w:color w:val="auto"/>
          <w:sz w:val="24"/>
          <w:szCs w:val="24"/>
          <w:lang w:val="en-US" w:eastAsia="zh-CN"/>
        </w:rPr>
        <w:t>2023年1人调入</w:t>
      </w:r>
      <w:bookmarkEnd w:id="2"/>
      <w:r>
        <w:rPr>
          <w:rFonts w:hint="eastAsia" w:ascii="宋体" w:hAnsi="宋体"/>
          <w:color w:val="auto"/>
          <w:sz w:val="24"/>
          <w:szCs w:val="24"/>
          <w:lang w:val="en-US" w:eastAsia="zh-CN"/>
        </w:rPr>
        <w:t>。</w:t>
      </w:r>
      <w:bookmarkEnd w:id="3"/>
    </w:p>
    <w:p w14:paraId="03063EF9">
      <w:pPr>
        <w:spacing w:before="100" w:beforeLines="0" w:after="100" w:afterLines="0"/>
        <w:jc w:val="left"/>
        <w:rPr>
          <w:rFonts w:hint="eastAsia" w:ascii="宋体" w:hAnsi="宋体"/>
          <w:color w:val="auto"/>
          <w:sz w:val="24"/>
          <w:szCs w:val="24"/>
          <w:lang w:val="zh-CN"/>
        </w:rPr>
      </w:pPr>
      <w:r>
        <w:rPr>
          <w:rFonts w:hint="eastAsia" w:ascii="Times New Roman" w:hAnsi="Times New Roman" w:eastAsia="宋体"/>
          <w:b/>
          <w:color w:val="auto"/>
          <w:sz w:val="24"/>
          <w:szCs w:val="24"/>
          <w:lang w:val="en-US" w:eastAsia="zh-CN"/>
        </w:rPr>
        <w:t>3</w:t>
      </w:r>
      <w:r>
        <w:rPr>
          <w:rFonts w:hint="eastAsia" w:ascii="宋体" w:hAnsi="宋体"/>
          <w:b/>
          <w:color w:val="auto"/>
          <w:sz w:val="24"/>
          <w:szCs w:val="24"/>
          <w:lang w:val="zh-CN"/>
        </w:rPr>
        <w:t>．卫生健康支出</w:t>
      </w:r>
      <w:r>
        <w:rPr>
          <w:rFonts w:hint="eastAsia" w:ascii="宋体" w:hAnsi="宋体"/>
          <w:color w:val="auto"/>
          <w:sz w:val="24"/>
          <w:szCs w:val="24"/>
          <w:lang w:val="zh-CN"/>
        </w:rPr>
        <w:t>年初预算数为6.26万元,支出决算为6.00万元,完成年初预算的95.86%,决算数小于预算数的主要原因是</w:t>
      </w:r>
      <w:r>
        <w:rPr>
          <w:rFonts w:hint="eastAsia" w:ascii="宋体" w:hAnsi="宋体"/>
          <w:color w:val="auto"/>
          <w:sz w:val="24"/>
          <w:szCs w:val="24"/>
          <w:lang w:val="en-US" w:eastAsia="zh-CN"/>
        </w:rPr>
        <w:t>2023年1人调入</w:t>
      </w:r>
      <w:r>
        <w:rPr>
          <w:rFonts w:hint="eastAsia" w:ascii="宋体" w:hAnsi="宋体"/>
          <w:color w:val="auto"/>
          <w:sz w:val="24"/>
          <w:szCs w:val="24"/>
          <w:lang w:val="zh-CN"/>
        </w:rPr>
        <w:t>。</w:t>
      </w:r>
    </w:p>
    <w:p w14:paraId="75F3C04B">
      <w:pPr>
        <w:spacing w:before="100" w:beforeLines="0" w:after="100" w:afterLines="0"/>
        <w:jc w:val="left"/>
        <w:rPr>
          <w:rFonts w:hint="eastAsia" w:ascii="宋体" w:hAnsi="宋体"/>
          <w:color w:val="auto"/>
          <w:sz w:val="24"/>
          <w:szCs w:val="24"/>
          <w:lang w:val="zh-CN"/>
        </w:rPr>
      </w:pPr>
      <w:r>
        <w:rPr>
          <w:rFonts w:hint="eastAsia" w:ascii="Times New Roman" w:hAnsi="Times New Roman" w:eastAsia="宋体"/>
          <w:b/>
          <w:color w:val="auto"/>
          <w:sz w:val="24"/>
          <w:szCs w:val="24"/>
          <w:lang w:val="en-US" w:eastAsia="zh-CN"/>
        </w:rPr>
        <w:t>4</w:t>
      </w:r>
      <w:r>
        <w:rPr>
          <w:rFonts w:hint="eastAsia" w:ascii="宋体" w:hAnsi="宋体"/>
          <w:b/>
          <w:color w:val="auto"/>
          <w:sz w:val="24"/>
          <w:szCs w:val="24"/>
          <w:lang w:val="zh-CN"/>
        </w:rPr>
        <w:t>．农林水支出</w:t>
      </w:r>
      <w:r>
        <w:rPr>
          <w:rFonts w:hint="eastAsia" w:ascii="宋体" w:hAnsi="宋体"/>
          <w:color w:val="auto"/>
          <w:sz w:val="24"/>
          <w:szCs w:val="24"/>
          <w:lang w:val="zh-CN"/>
        </w:rPr>
        <w:t>年初预算数为0.00万元,支出决算为1.00万元,完成年初预算的%,决算数大于预算数的主要原因是</w:t>
      </w:r>
      <w:r>
        <w:rPr>
          <w:rFonts w:hint="eastAsia" w:ascii="宋体" w:hAnsi="宋体"/>
          <w:color w:val="auto"/>
          <w:sz w:val="24"/>
          <w:szCs w:val="24"/>
          <w:lang w:val="en-US" w:eastAsia="zh-CN"/>
        </w:rPr>
        <w:t>2023年1万元为驻村帮扶队生活补助，上级项目支出</w:t>
      </w:r>
      <w:r>
        <w:rPr>
          <w:rFonts w:hint="eastAsia" w:ascii="宋体" w:hAnsi="宋体"/>
          <w:color w:val="auto"/>
          <w:sz w:val="24"/>
          <w:szCs w:val="24"/>
          <w:lang w:val="zh-CN"/>
        </w:rPr>
        <w:t>。</w:t>
      </w:r>
    </w:p>
    <w:p w14:paraId="5F01F5BB">
      <w:pPr>
        <w:spacing w:before="100" w:beforeLines="0" w:after="100" w:afterLines="0"/>
        <w:jc w:val="left"/>
        <w:rPr>
          <w:rFonts w:hint="eastAsia" w:ascii="宋体" w:hAnsi="宋体"/>
          <w:color w:val="auto"/>
          <w:sz w:val="24"/>
          <w:szCs w:val="24"/>
          <w:lang w:val="zh-CN"/>
        </w:rPr>
      </w:pPr>
      <w:r>
        <w:rPr>
          <w:rFonts w:hint="eastAsia" w:ascii="Times New Roman" w:hAnsi="Times New Roman" w:eastAsia="宋体"/>
          <w:b/>
          <w:color w:val="auto"/>
          <w:sz w:val="24"/>
          <w:szCs w:val="24"/>
          <w:lang w:val="en-US" w:eastAsia="zh-CN"/>
        </w:rPr>
        <w:t>5</w:t>
      </w:r>
      <w:r>
        <w:rPr>
          <w:rFonts w:hint="eastAsia" w:ascii="宋体" w:hAnsi="宋体"/>
          <w:b/>
          <w:color w:val="auto"/>
          <w:sz w:val="24"/>
          <w:szCs w:val="24"/>
          <w:lang w:val="zh-CN"/>
        </w:rPr>
        <w:t>．住房保障支出</w:t>
      </w:r>
      <w:r>
        <w:rPr>
          <w:rFonts w:hint="eastAsia" w:ascii="宋体" w:hAnsi="宋体"/>
          <w:color w:val="auto"/>
          <w:sz w:val="24"/>
          <w:szCs w:val="24"/>
          <w:lang w:val="zh-CN"/>
        </w:rPr>
        <w:t>年初预算数为7.71万元,支出决算为7.77万元,完成年初预算的100.85%,决算数大于预算数的主要原因是</w:t>
      </w:r>
      <w:r>
        <w:rPr>
          <w:rFonts w:hint="eastAsia" w:ascii="宋体" w:hAnsi="宋体"/>
          <w:color w:val="auto"/>
          <w:sz w:val="24"/>
          <w:szCs w:val="24"/>
          <w:lang w:val="en-US" w:eastAsia="zh-CN"/>
        </w:rPr>
        <w:t>2023年1人调入</w:t>
      </w:r>
      <w:r>
        <w:rPr>
          <w:rFonts w:hint="eastAsia" w:ascii="宋体" w:hAnsi="宋体"/>
          <w:color w:val="auto"/>
          <w:sz w:val="24"/>
          <w:szCs w:val="24"/>
          <w:lang w:val="zh-CN"/>
        </w:rPr>
        <w:t>。</w:t>
      </w:r>
    </w:p>
    <w:p w14:paraId="2DF74F28">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六、一般公共预算财政拨款基本支出决算情况说明</w:t>
      </w:r>
    </w:p>
    <w:p w14:paraId="7C2381C6">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2023年度一般公共预算财政拨款基本支出115.67万元。其中：</w:t>
      </w:r>
    </w:p>
    <w:p w14:paraId="0F68AEE5">
      <w:pPr>
        <w:spacing w:before="100" w:beforeLines="0" w:after="100" w:afterLines="0"/>
        <w:jc w:val="left"/>
        <w:rPr>
          <w:rFonts w:hint="eastAsia" w:ascii="宋体" w:hAnsi="宋体"/>
          <w:color w:val="000000" w:themeColor="text1"/>
          <w:sz w:val="24"/>
          <w:szCs w:val="24"/>
          <w:lang w:val="zh-CN"/>
          <w14:textFill>
            <w14:solidFill>
              <w14:schemeClr w14:val="tx1"/>
            </w14:solidFill>
          </w14:textFill>
        </w:rPr>
      </w:pPr>
      <w:r>
        <w:rPr>
          <w:rFonts w:hint="eastAsia" w:ascii="宋体" w:hAnsi="宋体"/>
          <w:b/>
          <w:color w:val="auto"/>
          <w:sz w:val="24"/>
          <w:szCs w:val="24"/>
          <w:lang w:val="zh-CN"/>
        </w:rPr>
        <w:t>人员经费</w:t>
      </w:r>
      <w:r>
        <w:rPr>
          <w:rFonts w:hint="eastAsia" w:ascii="宋体" w:hAnsi="宋体"/>
          <w:color w:val="auto"/>
          <w:sz w:val="24"/>
          <w:szCs w:val="24"/>
          <w:lang w:val="zh-CN"/>
        </w:rPr>
        <w:t>109.79万元,较上年决算数减少10.59万元,</w:t>
      </w:r>
      <w:r>
        <w:rPr>
          <w:rFonts w:hint="eastAsia" w:ascii="宋体" w:hAnsi="宋体"/>
          <w:color w:val="auto"/>
          <w:sz w:val="24"/>
          <w:szCs w:val="24"/>
          <w:lang w:val="en-US" w:eastAsia="zh-CN"/>
        </w:rPr>
        <w:t>减少</w:t>
      </w:r>
      <w:r>
        <w:rPr>
          <w:rFonts w:hint="eastAsia" w:ascii="宋体" w:hAnsi="宋体"/>
          <w:color w:val="auto"/>
          <w:sz w:val="24"/>
          <w:szCs w:val="24"/>
          <w:lang w:val="zh-CN"/>
        </w:rPr>
        <w:t>8.8%,主要原因是</w:t>
      </w:r>
      <w:r>
        <w:rPr>
          <w:rFonts w:hint="eastAsia" w:ascii="宋体" w:hAnsi="宋体"/>
          <w:color w:val="auto"/>
          <w:sz w:val="24"/>
          <w:szCs w:val="24"/>
          <w:lang w:val="en-US" w:eastAsia="zh-CN"/>
        </w:rPr>
        <w:t>2023年工资结构性调整</w:t>
      </w:r>
      <w:r>
        <w:rPr>
          <w:rFonts w:hint="eastAsia" w:ascii="宋体" w:hAnsi="宋体"/>
          <w:color w:val="auto"/>
          <w:sz w:val="24"/>
          <w:szCs w:val="24"/>
          <w:lang w:val="zh-CN"/>
        </w:rPr>
        <w:t>。人员经费用途</w:t>
      </w:r>
      <w:r>
        <w:rPr>
          <w:rFonts w:hint="eastAsia" w:ascii="宋体" w:hAnsi="宋体"/>
          <w:color w:val="000000" w:themeColor="text1"/>
          <w:sz w:val="24"/>
          <w:szCs w:val="24"/>
          <w:lang w:val="zh-CN"/>
          <w14:textFill>
            <w14:solidFill>
              <w14:schemeClr w14:val="tx1"/>
            </w14:solidFill>
          </w14:textFill>
        </w:rPr>
        <w:t>基本工资</w:t>
      </w:r>
      <w:r>
        <w:rPr>
          <w:rFonts w:hint="eastAsia" w:ascii="宋体" w:hAnsi="宋体"/>
          <w:color w:val="000000" w:themeColor="text1"/>
          <w:sz w:val="24"/>
          <w:szCs w:val="24"/>
          <w:lang w:val="en-US" w:eastAsia="zh-CN"/>
          <w14:textFill>
            <w14:solidFill>
              <w14:schemeClr w14:val="tx1"/>
            </w14:solidFill>
          </w14:textFill>
        </w:rPr>
        <w:t>60.3万元</w:t>
      </w:r>
      <w:r>
        <w:rPr>
          <w:rFonts w:hint="eastAsia" w:ascii="宋体" w:hAnsi="宋体"/>
          <w:color w:val="000000" w:themeColor="text1"/>
          <w:sz w:val="24"/>
          <w:szCs w:val="24"/>
          <w:lang w:val="zh-CN"/>
          <w14:textFill>
            <w14:solidFill>
              <w14:schemeClr w14:val="tx1"/>
            </w14:solidFill>
          </w14:textFill>
        </w:rPr>
        <w:t>、津贴补贴</w:t>
      </w:r>
      <w:r>
        <w:rPr>
          <w:rFonts w:hint="eastAsia" w:ascii="宋体" w:hAnsi="宋体"/>
          <w:color w:val="000000" w:themeColor="text1"/>
          <w:sz w:val="24"/>
          <w:szCs w:val="24"/>
          <w:lang w:val="en-US" w:eastAsia="zh-CN"/>
          <w14:textFill>
            <w14:solidFill>
              <w14:schemeClr w14:val="tx1"/>
            </w14:solidFill>
          </w14:textFill>
        </w:rPr>
        <w:t>9万元</w:t>
      </w:r>
      <w:r>
        <w:rPr>
          <w:rFonts w:hint="eastAsia" w:ascii="宋体" w:hAnsi="宋体"/>
          <w:color w:val="000000" w:themeColor="text1"/>
          <w:sz w:val="24"/>
          <w:szCs w:val="24"/>
          <w:lang w:val="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绩效工资1.2万元</w:t>
      </w:r>
      <w:r>
        <w:rPr>
          <w:rFonts w:hint="eastAsia" w:ascii="宋体" w:hAnsi="宋体"/>
          <w:color w:val="000000" w:themeColor="text1"/>
          <w:sz w:val="24"/>
          <w:szCs w:val="24"/>
          <w:lang w:val="zh-CN"/>
          <w14:textFill>
            <w14:solidFill>
              <w14:schemeClr w14:val="tx1"/>
            </w14:solidFill>
          </w14:textFill>
        </w:rPr>
        <w:t>、社会保障缴费</w:t>
      </w:r>
      <w:r>
        <w:rPr>
          <w:rFonts w:hint="eastAsia" w:ascii="宋体" w:hAnsi="宋体"/>
          <w:color w:val="000000" w:themeColor="text1"/>
          <w:sz w:val="24"/>
          <w:szCs w:val="24"/>
          <w:lang w:val="en-US" w:eastAsia="zh-CN"/>
          <w14:textFill>
            <w14:solidFill>
              <w14:schemeClr w14:val="tx1"/>
            </w14:solidFill>
          </w14:textFill>
        </w:rPr>
        <w:t>27.8万元、对个人和家庭补助0.84万元</w:t>
      </w:r>
      <w:r>
        <w:rPr>
          <w:rFonts w:hint="eastAsia" w:ascii="宋体" w:hAnsi="宋体"/>
          <w:color w:val="000000" w:themeColor="text1"/>
          <w:sz w:val="24"/>
          <w:szCs w:val="24"/>
          <w:lang w:val="zh-CN"/>
          <w14:textFill>
            <w14:solidFill>
              <w14:schemeClr w14:val="tx1"/>
            </w14:solidFill>
          </w14:textFill>
        </w:rPr>
        <w:t>。</w:t>
      </w:r>
    </w:p>
    <w:p w14:paraId="409EA970">
      <w:pPr>
        <w:spacing w:before="100" w:beforeLines="0" w:after="100" w:afterLines="0"/>
        <w:jc w:val="left"/>
        <w:rPr>
          <w:rFonts w:hint="eastAsia" w:ascii="宋体" w:hAnsi="宋体"/>
          <w:color w:val="FF0000"/>
          <w:sz w:val="24"/>
          <w:szCs w:val="24"/>
          <w:lang w:val="zh-CN"/>
        </w:rPr>
      </w:pPr>
      <w:r>
        <w:rPr>
          <w:rFonts w:hint="eastAsia" w:ascii="宋体" w:hAnsi="宋体"/>
          <w:b/>
          <w:color w:val="auto"/>
          <w:sz w:val="24"/>
          <w:szCs w:val="24"/>
          <w:lang w:val="zh-CN"/>
        </w:rPr>
        <w:t>公用经费</w:t>
      </w:r>
      <w:r>
        <w:rPr>
          <w:rFonts w:hint="eastAsia" w:ascii="宋体" w:hAnsi="宋体"/>
          <w:color w:val="auto"/>
          <w:sz w:val="24"/>
          <w:szCs w:val="24"/>
          <w:lang w:val="zh-CN"/>
        </w:rPr>
        <w:t>5.88万元,较上年决算数增加1.67万元,增长39.61%,主要原因</w:t>
      </w:r>
      <w:r>
        <w:rPr>
          <w:rFonts w:hint="eastAsia" w:ascii="宋体" w:hAnsi="宋体"/>
          <w:color w:val="000000" w:themeColor="text1"/>
          <w:sz w:val="24"/>
          <w:szCs w:val="24"/>
          <w:lang w:val="en-US" w:eastAsia="zh-CN"/>
          <w14:textFill>
            <w14:solidFill>
              <w14:schemeClr w14:val="tx1"/>
            </w14:solidFill>
          </w14:textFill>
        </w:rPr>
        <w:t>2023年结构性调整</w:t>
      </w:r>
      <w:r>
        <w:rPr>
          <w:rFonts w:hint="eastAsia" w:ascii="宋体" w:hAnsi="宋体"/>
          <w:color w:val="auto"/>
          <w:sz w:val="24"/>
          <w:szCs w:val="24"/>
          <w:lang w:val="zh-CN"/>
        </w:rPr>
        <w:t>。公用经费用途</w:t>
      </w:r>
      <w:r>
        <w:rPr>
          <w:rFonts w:hint="eastAsia" w:ascii="宋体" w:hAnsi="宋体"/>
          <w:color w:val="000000" w:themeColor="text1"/>
          <w:sz w:val="24"/>
          <w:szCs w:val="24"/>
          <w:lang w:val="zh-CN"/>
          <w14:textFill>
            <w14:solidFill>
              <w14:schemeClr w14:val="tx1"/>
            </w14:solidFill>
          </w14:textFill>
        </w:rPr>
        <w:t>公用经费用途公用经费用途主要包括办公费</w:t>
      </w:r>
      <w:r>
        <w:rPr>
          <w:rFonts w:hint="eastAsia" w:ascii="宋体" w:hAnsi="宋体"/>
          <w:color w:val="000000" w:themeColor="text1"/>
          <w:sz w:val="24"/>
          <w:szCs w:val="24"/>
          <w:lang w:val="en-US" w:eastAsia="zh-CN"/>
          <w14:textFill>
            <w14:solidFill>
              <w14:schemeClr w14:val="tx1"/>
            </w14:solidFill>
          </w14:textFill>
        </w:rPr>
        <w:t>1.46万元</w:t>
      </w:r>
      <w:r>
        <w:rPr>
          <w:rFonts w:hint="eastAsia" w:ascii="宋体" w:hAnsi="宋体"/>
          <w:color w:val="000000" w:themeColor="text1"/>
          <w:sz w:val="24"/>
          <w:szCs w:val="24"/>
          <w:lang w:val="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印刷费0.45万元，电费1.96万元</w:t>
      </w:r>
      <w:r>
        <w:rPr>
          <w:rFonts w:hint="eastAsia" w:ascii="宋体" w:hAnsi="宋体"/>
          <w:color w:val="000000" w:themeColor="text1"/>
          <w:sz w:val="24"/>
          <w:szCs w:val="24"/>
          <w:lang w:val="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差旅费1.15万元、劳务费0.85万元。</w:t>
      </w:r>
    </w:p>
    <w:p w14:paraId="1954F1E4">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七、政府性基金预算财政拨款收支决算情况说明</w:t>
      </w:r>
    </w:p>
    <w:p w14:paraId="6D0A8852">
      <w:pPr>
        <w:keepNext w:val="0"/>
        <w:keepLines w:val="0"/>
        <w:pageBreakBefore w:val="0"/>
        <w:kinsoku/>
        <w:wordWrap/>
        <w:overflowPunct/>
        <w:topLinePunct w:val="0"/>
        <w:autoSpaceDE/>
        <w:autoSpaceDN/>
        <w:bidi w:val="0"/>
        <w:adjustRightInd/>
        <w:snapToGrid/>
        <w:spacing w:before="100" w:beforeLines="0" w:after="100" w:afterLines="0" w:line="440" w:lineRule="exact"/>
        <w:ind w:firstLine="480" w:firstLineChars="200"/>
        <w:jc w:val="left"/>
        <w:textAlignment w:val="auto"/>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本</w:t>
      </w:r>
      <w:r>
        <w:rPr>
          <w:rFonts w:hint="eastAsia" w:ascii="宋体" w:hAnsi="宋体"/>
          <w:color w:val="000000" w:themeColor="text1"/>
          <w:sz w:val="24"/>
          <w:szCs w:val="24"/>
          <w:lang w:val="en-US" w:eastAsia="zh-CN"/>
          <w14:textFill>
            <w14:solidFill>
              <w14:schemeClr w14:val="tx1"/>
            </w14:solidFill>
          </w14:textFill>
        </w:rPr>
        <w:t>单位</w:t>
      </w:r>
      <w:r>
        <w:rPr>
          <w:rFonts w:hint="eastAsia" w:ascii="宋体" w:hAnsi="宋体"/>
          <w:color w:val="000000" w:themeColor="text1"/>
          <w:sz w:val="24"/>
          <w:szCs w:val="24"/>
          <w:lang w:val="zh-CN"/>
          <w14:textFill>
            <w14:solidFill>
              <w14:schemeClr w14:val="tx1"/>
            </w14:solidFill>
          </w14:textFill>
        </w:rPr>
        <w:t>202</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lang w:val="zh-CN"/>
          <w14:textFill>
            <w14:solidFill>
              <w14:schemeClr w14:val="tx1"/>
            </w14:solidFill>
          </w14:textFill>
        </w:rPr>
        <w:t>年度无政府性基金收入,也没有使用政府性基金安排的支出。</w:t>
      </w:r>
    </w:p>
    <w:p w14:paraId="33D4708A">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八、国有资本经营预算财政拨款支出情况说明</w:t>
      </w:r>
    </w:p>
    <w:p w14:paraId="2F92D76F">
      <w:pPr>
        <w:spacing w:before="100" w:beforeLines="0" w:after="100" w:afterLines="0"/>
        <w:ind w:firstLine="480" w:firstLineChars="200"/>
        <w:jc w:val="left"/>
        <w:rPr>
          <w:rFonts w:hint="eastAsia" w:ascii="宋体" w:hAnsi="宋体"/>
          <w:color w:val="FF0000"/>
          <w:sz w:val="24"/>
          <w:szCs w:val="24"/>
          <w:lang w:val="zh-CN"/>
        </w:rPr>
      </w:pPr>
      <w:r>
        <w:rPr>
          <w:rFonts w:hint="eastAsia" w:ascii="宋体" w:hAnsi="宋体"/>
          <w:color w:val="000000" w:themeColor="text1"/>
          <w:sz w:val="24"/>
          <w:szCs w:val="24"/>
          <w:lang w:val="zh-CN"/>
          <w14:textFill>
            <w14:solidFill>
              <w14:schemeClr w14:val="tx1"/>
            </w14:solidFill>
          </w14:textFill>
        </w:rPr>
        <w:t>本</w:t>
      </w:r>
      <w:r>
        <w:rPr>
          <w:rFonts w:hint="eastAsia" w:ascii="宋体" w:hAnsi="宋体"/>
          <w:color w:val="000000" w:themeColor="text1"/>
          <w:sz w:val="24"/>
          <w:szCs w:val="24"/>
          <w:lang w:val="en-US" w:eastAsia="zh-CN"/>
          <w14:textFill>
            <w14:solidFill>
              <w14:schemeClr w14:val="tx1"/>
            </w14:solidFill>
          </w14:textFill>
        </w:rPr>
        <w:t>单位</w:t>
      </w:r>
      <w:r>
        <w:rPr>
          <w:rFonts w:hint="eastAsia" w:ascii="宋体" w:hAnsi="宋体"/>
          <w:color w:val="000000" w:themeColor="text1"/>
          <w:sz w:val="24"/>
          <w:szCs w:val="24"/>
          <w:lang w:val="zh-CN"/>
          <w14:textFill>
            <w14:solidFill>
              <w14:schemeClr w14:val="tx1"/>
            </w14:solidFill>
          </w14:textFill>
        </w:rPr>
        <w:t>202</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lang w:val="zh-CN"/>
          <w14:textFill>
            <w14:solidFill>
              <w14:schemeClr w14:val="tx1"/>
            </w14:solidFill>
          </w14:textFill>
        </w:rPr>
        <w:t>年度没有使用国有资本经营预算安排的支出。</w:t>
      </w:r>
      <w:r>
        <w:rPr>
          <w:rFonts w:hint="eastAsia" w:ascii="宋体" w:hAnsi="宋体"/>
          <w:color w:val="auto"/>
          <w:sz w:val="24"/>
          <w:szCs w:val="24"/>
          <w:lang w:val="zh-CN"/>
        </w:rPr>
        <w:t>2023年度国有资本经营预算财政拨款本年支出0.00万元。</w:t>
      </w:r>
    </w:p>
    <w:p w14:paraId="39CE0B38">
      <w:pPr>
        <w:spacing w:before="100" w:beforeLines="0" w:after="100" w:afterLines="0"/>
        <w:jc w:val="left"/>
        <w:rPr>
          <w:rFonts w:hint="eastAsia" w:ascii="宋体" w:hAnsi="宋体"/>
          <w:color w:val="FF0000"/>
          <w:sz w:val="24"/>
          <w:szCs w:val="24"/>
          <w:lang w:val="zh-CN"/>
        </w:rPr>
      </w:pPr>
    </w:p>
    <w:p w14:paraId="651FCA46">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en-US" w:eastAsia="zh-CN"/>
        </w:rPr>
        <w:t>九</w:t>
      </w:r>
      <w:r>
        <w:rPr>
          <w:rFonts w:hint="eastAsia" w:ascii="宋体" w:hAnsi="宋体"/>
          <w:b/>
          <w:bCs/>
          <w:color w:val="auto"/>
          <w:sz w:val="24"/>
          <w:szCs w:val="24"/>
          <w:lang w:val="zh-CN" w:eastAsia="zh-CN"/>
        </w:rPr>
        <w:t>、财政拨款</w:t>
      </w:r>
      <w:r>
        <w:rPr>
          <w:rFonts w:hint="default" w:ascii="宋体" w:hAnsi="宋体"/>
          <w:b/>
          <w:bCs/>
          <w:color w:val="auto"/>
          <w:sz w:val="24"/>
          <w:szCs w:val="24"/>
          <w:lang w:val="zh-CN" w:eastAsia="zh-CN"/>
        </w:rPr>
        <w:t>“</w:t>
      </w:r>
      <w:r>
        <w:rPr>
          <w:rFonts w:hint="eastAsia" w:ascii="宋体" w:hAnsi="宋体"/>
          <w:b/>
          <w:bCs/>
          <w:color w:val="auto"/>
          <w:sz w:val="24"/>
          <w:szCs w:val="24"/>
          <w:lang w:val="zh-CN" w:eastAsia="zh-CN"/>
        </w:rPr>
        <w:t>三公</w:t>
      </w:r>
      <w:r>
        <w:rPr>
          <w:rFonts w:hint="default" w:ascii="宋体" w:hAnsi="宋体"/>
          <w:b/>
          <w:bCs/>
          <w:color w:val="auto"/>
          <w:sz w:val="24"/>
          <w:szCs w:val="24"/>
          <w:lang w:val="zh-CN" w:eastAsia="zh-CN"/>
        </w:rPr>
        <w:t>”</w:t>
      </w:r>
      <w:r>
        <w:rPr>
          <w:rFonts w:hint="eastAsia" w:ascii="宋体" w:hAnsi="宋体"/>
          <w:b/>
          <w:bCs/>
          <w:color w:val="auto"/>
          <w:sz w:val="24"/>
          <w:szCs w:val="24"/>
          <w:lang w:val="zh-CN" w:eastAsia="zh-CN"/>
        </w:rPr>
        <w:t>经费支出决算情况说明</w:t>
      </w:r>
    </w:p>
    <w:p w14:paraId="6A215D81">
      <w:pPr>
        <w:spacing w:before="100" w:beforeLines="0" w:after="100" w:afterLines="0"/>
        <w:jc w:val="left"/>
        <w:rPr>
          <w:rFonts w:hint="eastAsia" w:ascii="宋体" w:hAnsi="宋体"/>
          <w:color w:val="auto"/>
          <w:sz w:val="24"/>
          <w:szCs w:val="24"/>
          <w:lang w:val="zh-CN"/>
        </w:rPr>
      </w:pPr>
      <w:r>
        <w:rPr>
          <w:rFonts w:hint="eastAsia" w:ascii="宋体" w:hAnsi="宋体"/>
          <w:color w:val="000000" w:themeColor="text1"/>
          <w:sz w:val="24"/>
          <w:szCs w:val="24"/>
          <w:lang w:val="zh-CN"/>
          <w14:textFill>
            <w14:solidFill>
              <w14:schemeClr w14:val="tx1"/>
            </w14:solidFill>
          </w14:textFill>
        </w:rPr>
        <w:t>202</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lang w:val="zh-CN"/>
          <w14:textFill>
            <w14:solidFill>
              <w14:schemeClr w14:val="tx1"/>
            </w14:solidFill>
          </w14:textFill>
        </w:rPr>
        <w:t>年度</w:t>
      </w:r>
      <w:r>
        <w:rPr>
          <w:rFonts w:hint="default" w:ascii="宋体" w:hAnsi="宋体"/>
          <w:color w:val="000000" w:themeColor="text1"/>
          <w:sz w:val="24"/>
          <w:szCs w:val="24"/>
          <w:lang w:val="zh-CN"/>
          <w14:textFill>
            <w14:solidFill>
              <w14:schemeClr w14:val="tx1"/>
            </w14:solidFill>
          </w14:textFill>
        </w:rPr>
        <w:t>“</w:t>
      </w:r>
      <w:r>
        <w:rPr>
          <w:rFonts w:hint="eastAsia" w:ascii="宋体" w:hAnsi="宋体"/>
          <w:color w:val="000000" w:themeColor="text1"/>
          <w:sz w:val="24"/>
          <w:szCs w:val="24"/>
          <w:lang w:val="zh-CN"/>
          <w14:textFill>
            <w14:solidFill>
              <w14:schemeClr w14:val="tx1"/>
            </w14:solidFill>
          </w14:textFill>
        </w:rPr>
        <w:t>三公</w:t>
      </w:r>
      <w:r>
        <w:rPr>
          <w:rFonts w:hint="default" w:ascii="宋体" w:hAnsi="宋体"/>
          <w:color w:val="000000" w:themeColor="text1"/>
          <w:sz w:val="24"/>
          <w:szCs w:val="24"/>
          <w:lang w:val="zh-CN"/>
          <w14:textFill>
            <w14:solidFill>
              <w14:schemeClr w14:val="tx1"/>
            </w14:solidFill>
          </w14:textFill>
        </w:rPr>
        <w:t>”</w:t>
      </w:r>
      <w:r>
        <w:rPr>
          <w:rFonts w:hint="eastAsia" w:ascii="宋体" w:hAnsi="宋体"/>
          <w:color w:val="000000" w:themeColor="text1"/>
          <w:sz w:val="24"/>
          <w:szCs w:val="24"/>
          <w:lang w:val="zh-CN"/>
          <w14:textFill>
            <w14:solidFill>
              <w14:schemeClr w14:val="tx1"/>
            </w14:solidFill>
          </w14:textFill>
        </w:rPr>
        <w:t>经费支出</w:t>
      </w:r>
      <w:r>
        <w:rPr>
          <w:rFonts w:hint="eastAsia" w:ascii="宋体" w:hAnsi="宋体"/>
          <w:color w:val="000000" w:themeColor="text1"/>
          <w:sz w:val="24"/>
          <w:szCs w:val="24"/>
          <w:lang w:val="en-US"/>
          <w14:textFill>
            <w14:solidFill>
              <w14:schemeClr w14:val="tx1"/>
            </w14:solidFill>
          </w14:textFill>
        </w:rPr>
        <w:t>全年</w:t>
      </w:r>
      <w:r>
        <w:rPr>
          <w:rFonts w:hint="eastAsia" w:ascii="宋体" w:hAnsi="宋体"/>
          <w:color w:val="000000" w:themeColor="text1"/>
          <w:sz w:val="24"/>
          <w:szCs w:val="24"/>
          <w:lang w:val="zh-CN"/>
          <w14:textFill>
            <w14:solidFill>
              <w14:schemeClr w14:val="tx1"/>
            </w14:solidFill>
          </w14:textFill>
        </w:rPr>
        <w:t>预算数为0.00万元,支出决算为0.00万元。</w:t>
      </w:r>
      <w:r>
        <w:rPr>
          <w:rFonts w:hint="eastAsia" w:ascii="宋体" w:hAnsi="宋体"/>
          <w:b/>
          <w:color w:val="auto"/>
          <w:sz w:val="24"/>
          <w:szCs w:val="24"/>
          <w:lang w:val="zh-CN"/>
        </w:rPr>
        <w:t>(一)</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三公</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经费财政拨款支出总体情况说明</w:t>
      </w:r>
    </w:p>
    <w:p w14:paraId="1F2FC94E">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2023年度</w:t>
      </w:r>
      <w:r>
        <w:rPr>
          <w:rFonts w:hint="default" w:ascii="宋体" w:hAnsi="宋体"/>
          <w:color w:val="auto"/>
          <w:sz w:val="24"/>
          <w:szCs w:val="24"/>
          <w:lang w:val="zh-CN"/>
        </w:rPr>
        <w:t>“</w:t>
      </w:r>
      <w:r>
        <w:rPr>
          <w:rFonts w:hint="eastAsia" w:ascii="宋体" w:hAnsi="宋体"/>
          <w:color w:val="auto"/>
          <w:sz w:val="24"/>
          <w:szCs w:val="24"/>
          <w:lang w:val="zh-CN"/>
        </w:rPr>
        <w:t>三公</w:t>
      </w:r>
      <w:r>
        <w:rPr>
          <w:rFonts w:hint="default" w:ascii="宋体" w:hAnsi="宋体"/>
          <w:color w:val="auto"/>
          <w:sz w:val="24"/>
          <w:szCs w:val="24"/>
          <w:lang w:val="zh-CN"/>
        </w:rPr>
        <w:t>”</w:t>
      </w:r>
      <w:r>
        <w:rPr>
          <w:rFonts w:hint="eastAsia" w:ascii="宋体" w:hAnsi="宋体"/>
          <w:color w:val="auto"/>
          <w:sz w:val="24"/>
          <w:szCs w:val="24"/>
          <w:lang w:val="zh-CN"/>
        </w:rPr>
        <w:t>经费支出</w:t>
      </w:r>
      <w:r>
        <w:rPr>
          <w:rFonts w:hint="eastAsia" w:ascii="宋体" w:hAnsi="宋体"/>
          <w:color w:val="auto"/>
          <w:sz w:val="24"/>
          <w:szCs w:val="24"/>
          <w:lang w:val="en-US"/>
        </w:rPr>
        <w:t>全年</w:t>
      </w:r>
      <w:r>
        <w:rPr>
          <w:rFonts w:hint="eastAsia" w:ascii="宋体" w:hAnsi="宋体"/>
          <w:color w:val="auto"/>
          <w:sz w:val="24"/>
          <w:szCs w:val="24"/>
          <w:lang w:val="zh-CN"/>
        </w:rPr>
        <w:t>预算数为0.12万元,支出决算为0.00万元,决算数小于预算数的</w:t>
      </w:r>
      <w:bookmarkStart w:id="4" w:name="OLE_LINK5"/>
      <w:r>
        <w:rPr>
          <w:rFonts w:hint="eastAsia" w:ascii="宋体" w:hAnsi="宋体"/>
          <w:color w:val="auto"/>
          <w:sz w:val="24"/>
          <w:szCs w:val="24"/>
          <w:lang w:val="zh-CN"/>
        </w:rPr>
        <w:t>主要原因是</w:t>
      </w:r>
      <w:r>
        <w:rPr>
          <w:rFonts w:hint="eastAsia" w:ascii="宋体" w:hAnsi="宋体"/>
          <w:color w:val="auto"/>
          <w:sz w:val="24"/>
          <w:szCs w:val="24"/>
          <w:lang w:val="en-US" w:eastAsia="zh-CN"/>
        </w:rPr>
        <w:t>按照政策规定，压减三公经费。</w:t>
      </w:r>
      <w:bookmarkEnd w:id="4"/>
    </w:p>
    <w:p w14:paraId="73D21858">
      <w:pPr>
        <w:numPr>
          <w:ilvl w:val="0"/>
          <w:numId w:val="3"/>
        </w:numPr>
        <w:spacing w:before="100" w:beforeLines="0" w:after="100" w:afterLines="0"/>
        <w:jc w:val="left"/>
        <w:rPr>
          <w:rFonts w:hint="eastAsia" w:ascii="宋体" w:hAnsi="宋体"/>
          <w:b/>
          <w:color w:val="auto"/>
          <w:sz w:val="24"/>
          <w:szCs w:val="24"/>
          <w:lang w:val="zh-CN"/>
        </w:rPr>
      </w:pP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三公</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经费财政拨款支出决算具体情况说明</w:t>
      </w:r>
    </w:p>
    <w:p w14:paraId="17B0A913">
      <w:pPr>
        <w:numPr>
          <w:ilvl w:val="0"/>
          <w:numId w:val="4"/>
        </w:num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因公出国(境)费用</w:t>
      </w:r>
      <w:r>
        <w:rPr>
          <w:rFonts w:hint="eastAsia" w:ascii="宋体" w:hAnsi="宋体"/>
          <w:color w:val="auto"/>
          <w:sz w:val="24"/>
          <w:szCs w:val="24"/>
          <w:lang w:val="en-US"/>
        </w:rPr>
        <w:t>全年</w:t>
      </w:r>
      <w:r>
        <w:rPr>
          <w:rFonts w:hint="eastAsia" w:ascii="宋体" w:hAnsi="宋体"/>
          <w:color w:val="auto"/>
          <w:sz w:val="24"/>
          <w:szCs w:val="24"/>
          <w:lang w:val="zh-CN"/>
        </w:rPr>
        <w:t>预算数为0.00万元,支出决算为0.00万元。</w:t>
      </w:r>
    </w:p>
    <w:p w14:paraId="62C5A2B3">
      <w:pPr>
        <w:numPr>
          <w:ilvl w:val="0"/>
          <w:numId w:val="4"/>
        </w:num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公务用车购置及运行维护费</w:t>
      </w:r>
      <w:r>
        <w:rPr>
          <w:rFonts w:hint="eastAsia" w:ascii="宋体" w:hAnsi="宋体"/>
          <w:color w:val="auto"/>
          <w:sz w:val="24"/>
          <w:szCs w:val="24"/>
          <w:lang w:val="en-US"/>
        </w:rPr>
        <w:t>全年</w:t>
      </w:r>
      <w:r>
        <w:rPr>
          <w:rFonts w:hint="eastAsia" w:ascii="宋体" w:hAnsi="宋体"/>
          <w:color w:val="auto"/>
          <w:sz w:val="24"/>
          <w:szCs w:val="24"/>
          <w:lang w:val="zh-CN"/>
        </w:rPr>
        <w:t>预算数为0.00万元,支出决算为0.00万元。</w:t>
      </w:r>
    </w:p>
    <w:p w14:paraId="3220919D">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其中：公务用车购置费</w:t>
      </w:r>
      <w:r>
        <w:rPr>
          <w:rFonts w:hint="eastAsia" w:ascii="宋体" w:hAnsi="宋体"/>
          <w:color w:val="auto"/>
          <w:sz w:val="24"/>
          <w:szCs w:val="24"/>
          <w:lang w:val="en-US"/>
        </w:rPr>
        <w:t>全年</w:t>
      </w:r>
      <w:r>
        <w:rPr>
          <w:rFonts w:hint="eastAsia" w:ascii="宋体" w:hAnsi="宋体"/>
          <w:color w:val="auto"/>
          <w:sz w:val="24"/>
          <w:szCs w:val="24"/>
          <w:lang w:val="zh-CN"/>
        </w:rPr>
        <w:t>预算数为0.00万元,支出决算为0.00万元。</w:t>
      </w:r>
    </w:p>
    <w:p w14:paraId="3CC778CF">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公务用车运行维护费</w:t>
      </w:r>
      <w:r>
        <w:rPr>
          <w:rFonts w:hint="eastAsia" w:ascii="宋体" w:hAnsi="宋体"/>
          <w:color w:val="auto"/>
          <w:sz w:val="24"/>
          <w:szCs w:val="24"/>
          <w:lang w:val="en-US"/>
        </w:rPr>
        <w:t>全年</w:t>
      </w:r>
      <w:r>
        <w:rPr>
          <w:rFonts w:hint="eastAsia" w:ascii="宋体" w:hAnsi="宋体"/>
          <w:color w:val="auto"/>
          <w:sz w:val="24"/>
          <w:szCs w:val="24"/>
          <w:lang w:val="zh-CN"/>
        </w:rPr>
        <w:t>预算数为0.00万元,支出决算为0.00万元,。</w:t>
      </w:r>
    </w:p>
    <w:p w14:paraId="66A14C09">
      <w:pPr>
        <w:numPr>
          <w:ilvl w:val="0"/>
          <w:numId w:val="5"/>
        </w:numPr>
        <w:spacing w:before="100" w:beforeLines="0" w:after="100" w:afterLines="0"/>
        <w:jc w:val="left"/>
        <w:rPr>
          <w:rFonts w:hint="eastAsia" w:ascii="宋体" w:hAnsi="宋体"/>
          <w:color w:val="FF0000"/>
          <w:sz w:val="24"/>
          <w:szCs w:val="24"/>
          <w:lang w:val="zh-CN"/>
        </w:rPr>
      </w:pPr>
      <w:r>
        <w:rPr>
          <w:rFonts w:hint="eastAsia" w:ascii="宋体" w:hAnsi="宋体"/>
          <w:b/>
          <w:color w:val="auto"/>
          <w:sz w:val="24"/>
          <w:szCs w:val="24"/>
          <w:lang w:val="zh-CN"/>
        </w:rPr>
        <w:t>公务接待费</w:t>
      </w:r>
      <w:r>
        <w:rPr>
          <w:rFonts w:hint="eastAsia" w:ascii="宋体" w:hAnsi="宋体"/>
          <w:color w:val="auto"/>
          <w:sz w:val="24"/>
          <w:szCs w:val="24"/>
          <w:lang w:val="en-US"/>
        </w:rPr>
        <w:t>全</w:t>
      </w:r>
      <w:r>
        <w:rPr>
          <w:rFonts w:hint="eastAsia" w:ascii="宋体" w:hAnsi="宋体"/>
          <w:color w:val="auto"/>
          <w:sz w:val="24"/>
          <w:szCs w:val="24"/>
          <w:lang w:val="zh-CN"/>
        </w:rPr>
        <w:t>年预算数为0.12万元,支出决算为0.00万元。</w:t>
      </w:r>
    </w:p>
    <w:p w14:paraId="0B34E50F">
      <w:pPr>
        <w:numPr>
          <w:ilvl w:val="0"/>
          <w:numId w:val="0"/>
        </w:numPr>
        <w:spacing w:before="100" w:beforeLines="0" w:after="100" w:afterLines="0"/>
        <w:jc w:val="left"/>
        <w:rPr>
          <w:rFonts w:hint="eastAsia" w:ascii="宋体" w:hAnsi="宋体"/>
          <w:color w:val="FF0000"/>
          <w:sz w:val="24"/>
          <w:szCs w:val="24"/>
          <w:lang w:val="en-US" w:eastAsia="zh-CN"/>
        </w:rPr>
      </w:pPr>
      <w:r>
        <w:rPr>
          <w:rFonts w:hint="eastAsia" w:ascii="宋体" w:hAnsi="宋体"/>
          <w:color w:val="000000" w:themeColor="text1"/>
          <w:sz w:val="24"/>
          <w:szCs w:val="24"/>
          <w:lang w:val="zh-CN"/>
          <w14:textFill>
            <w14:solidFill>
              <w14:schemeClr w14:val="tx1"/>
            </w14:solidFill>
          </w14:textFill>
        </w:rPr>
        <w:t>外事接待费支出0.00</w:t>
      </w:r>
      <w:r>
        <w:rPr>
          <w:rFonts w:hint="eastAsia" w:ascii="宋体" w:hAnsi="宋体"/>
          <w:color w:val="auto"/>
          <w:sz w:val="24"/>
          <w:szCs w:val="24"/>
          <w:lang w:val="zh-CN"/>
        </w:rPr>
        <w:t>万元。</w:t>
      </w:r>
    </w:p>
    <w:p w14:paraId="0F2B87B0">
      <w:pPr>
        <w:numPr>
          <w:ilvl w:val="0"/>
          <w:numId w:val="0"/>
        </w:numPr>
        <w:spacing w:before="100" w:beforeLines="0" w:after="100" w:afterLines="0"/>
        <w:jc w:val="left"/>
        <w:rPr>
          <w:rFonts w:hint="default" w:ascii="宋体" w:hAnsi="宋体"/>
          <w:color w:val="FF0000"/>
          <w:sz w:val="24"/>
          <w:szCs w:val="24"/>
          <w:lang w:val="en-US" w:eastAsia="zh-CN"/>
        </w:rPr>
      </w:pPr>
      <w:r>
        <w:rPr>
          <w:rFonts w:hint="eastAsia" w:ascii="宋体" w:hAnsi="宋体"/>
          <w:color w:val="000000" w:themeColor="text1"/>
          <w:sz w:val="24"/>
          <w:szCs w:val="24"/>
          <w:lang w:val="en-US" w:eastAsia="zh-CN"/>
          <w14:textFill>
            <w14:solidFill>
              <w14:schemeClr w14:val="tx1"/>
            </w14:solidFill>
          </w14:textFill>
        </w:rPr>
        <w:t>其他国内公务接待支出</w:t>
      </w:r>
      <w:r>
        <w:rPr>
          <w:rFonts w:hint="eastAsia" w:ascii="宋体" w:hAnsi="宋体"/>
          <w:color w:val="auto"/>
          <w:sz w:val="24"/>
          <w:szCs w:val="24"/>
          <w:lang w:val="zh-CN"/>
        </w:rPr>
        <w:t>万元。</w:t>
      </w:r>
    </w:p>
    <w:p w14:paraId="6C0BBB40">
      <w:pPr>
        <w:numPr>
          <w:ilvl w:val="0"/>
          <w:numId w:val="3"/>
        </w:numPr>
        <w:spacing w:before="100" w:beforeLines="0" w:after="100" w:afterLines="0"/>
        <w:ind w:left="0" w:leftChars="0" w:firstLine="0" w:firstLineChars="0"/>
        <w:jc w:val="left"/>
        <w:rPr>
          <w:rFonts w:hint="eastAsia" w:ascii="宋体" w:hAnsi="宋体"/>
          <w:b/>
          <w:color w:val="auto"/>
          <w:sz w:val="24"/>
          <w:szCs w:val="24"/>
          <w:lang w:val="zh-CN"/>
        </w:rPr>
      </w:pP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三公</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经费财政拨款支出决算实物量情况</w:t>
      </w:r>
    </w:p>
    <w:p w14:paraId="0774BF2D">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2023年度本部门</w:t>
      </w:r>
      <w:r>
        <w:rPr>
          <w:rFonts w:hint="eastAsia" w:ascii="宋体" w:hAnsi="宋体"/>
          <w:b/>
          <w:color w:val="auto"/>
          <w:sz w:val="24"/>
          <w:szCs w:val="24"/>
          <w:lang w:val="zh-CN"/>
        </w:rPr>
        <w:t>因公出国(境)</w:t>
      </w:r>
      <w:r>
        <w:rPr>
          <w:rFonts w:hint="eastAsia" w:ascii="宋体" w:hAnsi="宋体"/>
          <w:color w:val="auto"/>
          <w:sz w:val="24"/>
          <w:szCs w:val="24"/>
          <w:lang w:val="zh-CN"/>
        </w:rPr>
        <w:t>共计个</w:t>
      </w:r>
      <w:r>
        <w:rPr>
          <w:rFonts w:hint="eastAsia" w:ascii="宋体" w:hAnsi="宋体"/>
          <w:color w:val="auto"/>
          <w:sz w:val="24"/>
          <w:szCs w:val="24"/>
          <w:lang w:val="en-US" w:eastAsia="zh-CN"/>
        </w:rPr>
        <w:t>0</w:t>
      </w:r>
      <w:r>
        <w:rPr>
          <w:rFonts w:hint="eastAsia" w:ascii="宋体" w:hAnsi="宋体"/>
          <w:color w:val="auto"/>
          <w:sz w:val="24"/>
          <w:szCs w:val="24"/>
          <w:lang w:val="zh-CN"/>
        </w:rPr>
        <w:t>团组,</w:t>
      </w:r>
      <w:r>
        <w:rPr>
          <w:rFonts w:hint="eastAsia" w:ascii="宋体" w:hAnsi="宋体"/>
          <w:color w:val="auto"/>
          <w:sz w:val="24"/>
          <w:szCs w:val="24"/>
          <w:lang w:val="en-US" w:eastAsia="zh-CN"/>
        </w:rPr>
        <w:t>0</w:t>
      </w:r>
      <w:r>
        <w:rPr>
          <w:rFonts w:hint="eastAsia" w:ascii="宋体" w:hAnsi="宋体"/>
          <w:color w:val="auto"/>
          <w:sz w:val="24"/>
          <w:szCs w:val="24"/>
          <w:lang w:val="zh-CN"/>
        </w:rPr>
        <w:t>人；</w:t>
      </w:r>
      <w:r>
        <w:rPr>
          <w:rFonts w:hint="eastAsia" w:ascii="宋体" w:hAnsi="宋体"/>
          <w:b/>
          <w:color w:val="auto"/>
          <w:sz w:val="24"/>
          <w:szCs w:val="24"/>
          <w:lang w:val="zh-CN"/>
        </w:rPr>
        <w:t>公务用车购置</w:t>
      </w:r>
      <w:r>
        <w:rPr>
          <w:rFonts w:hint="eastAsia" w:ascii="宋体" w:hAnsi="宋体"/>
          <w:b/>
          <w:color w:val="auto"/>
          <w:sz w:val="24"/>
          <w:szCs w:val="24"/>
          <w:lang w:val="en-US" w:eastAsia="zh-CN"/>
        </w:rPr>
        <w:t>0</w:t>
      </w:r>
      <w:r>
        <w:rPr>
          <w:rFonts w:hint="eastAsia" w:ascii="宋体" w:hAnsi="宋体"/>
          <w:color w:val="auto"/>
          <w:sz w:val="24"/>
          <w:szCs w:val="24"/>
          <w:lang w:val="zh-CN"/>
        </w:rPr>
        <w:t>辆,</w:t>
      </w:r>
      <w:r>
        <w:rPr>
          <w:rFonts w:hint="eastAsia" w:ascii="宋体" w:hAnsi="宋体"/>
          <w:b/>
          <w:color w:val="auto"/>
          <w:sz w:val="24"/>
          <w:szCs w:val="24"/>
          <w:lang w:val="zh-CN"/>
        </w:rPr>
        <w:t>公务用车保有量</w:t>
      </w:r>
      <w:r>
        <w:rPr>
          <w:rFonts w:hint="eastAsia" w:ascii="宋体" w:hAnsi="宋体"/>
          <w:color w:val="auto"/>
          <w:sz w:val="24"/>
          <w:szCs w:val="24"/>
          <w:lang w:val="zh-CN"/>
        </w:rPr>
        <w:t>为</w:t>
      </w:r>
      <w:r>
        <w:rPr>
          <w:rFonts w:hint="eastAsia" w:ascii="宋体" w:hAnsi="宋体"/>
          <w:color w:val="auto"/>
          <w:sz w:val="24"/>
          <w:szCs w:val="24"/>
          <w:lang w:val="en-US" w:eastAsia="zh-CN"/>
        </w:rPr>
        <w:t>0</w:t>
      </w:r>
      <w:r>
        <w:rPr>
          <w:rFonts w:hint="eastAsia" w:ascii="宋体" w:hAnsi="宋体"/>
          <w:color w:val="auto"/>
          <w:sz w:val="24"/>
          <w:szCs w:val="24"/>
          <w:lang w:val="zh-CN"/>
        </w:rPr>
        <w:t>辆；</w:t>
      </w:r>
      <w:r>
        <w:rPr>
          <w:rFonts w:hint="eastAsia" w:ascii="宋体" w:hAnsi="宋体"/>
          <w:b/>
          <w:color w:val="auto"/>
          <w:sz w:val="24"/>
          <w:szCs w:val="24"/>
          <w:lang w:val="zh-CN"/>
        </w:rPr>
        <w:t>国内公务接待</w:t>
      </w:r>
      <w:r>
        <w:rPr>
          <w:rFonts w:hint="eastAsia" w:ascii="宋体" w:hAnsi="宋体"/>
          <w:b/>
          <w:color w:val="auto"/>
          <w:sz w:val="24"/>
          <w:szCs w:val="24"/>
          <w:lang w:val="en-US" w:eastAsia="zh-CN"/>
        </w:rPr>
        <w:t>0</w:t>
      </w:r>
      <w:r>
        <w:rPr>
          <w:rFonts w:hint="eastAsia" w:ascii="宋体" w:hAnsi="宋体"/>
          <w:color w:val="auto"/>
          <w:sz w:val="24"/>
          <w:szCs w:val="24"/>
          <w:lang w:val="zh-CN"/>
        </w:rPr>
        <w:t>批次</w:t>
      </w:r>
      <w:r>
        <w:rPr>
          <w:rFonts w:hint="eastAsia" w:ascii="宋体" w:hAnsi="宋体"/>
          <w:color w:val="auto"/>
          <w:sz w:val="24"/>
          <w:szCs w:val="24"/>
          <w:lang w:val="en-US" w:eastAsia="zh-CN"/>
        </w:rPr>
        <w:t>0</w:t>
      </w:r>
      <w:r>
        <w:rPr>
          <w:rFonts w:hint="eastAsia" w:ascii="宋体" w:hAnsi="宋体"/>
          <w:color w:val="auto"/>
          <w:sz w:val="24"/>
          <w:szCs w:val="24"/>
          <w:lang w:val="zh-CN"/>
        </w:rPr>
        <w:t>人,其中：</w:t>
      </w:r>
      <w:r>
        <w:rPr>
          <w:rFonts w:hint="eastAsia" w:ascii="宋体" w:hAnsi="宋体"/>
          <w:b/>
          <w:color w:val="auto"/>
          <w:sz w:val="24"/>
          <w:szCs w:val="24"/>
          <w:lang w:val="zh-CN"/>
        </w:rPr>
        <w:t>外事接待</w:t>
      </w:r>
      <w:r>
        <w:rPr>
          <w:rFonts w:hint="eastAsia" w:ascii="宋体" w:hAnsi="宋体"/>
          <w:b/>
          <w:color w:val="auto"/>
          <w:sz w:val="24"/>
          <w:szCs w:val="24"/>
          <w:lang w:val="en-US" w:eastAsia="zh-CN"/>
        </w:rPr>
        <w:t>0</w:t>
      </w:r>
      <w:r>
        <w:rPr>
          <w:rFonts w:hint="eastAsia" w:ascii="宋体" w:hAnsi="宋体"/>
          <w:color w:val="auto"/>
          <w:sz w:val="24"/>
          <w:szCs w:val="24"/>
          <w:lang w:val="zh-CN"/>
        </w:rPr>
        <w:t>批次,人；</w:t>
      </w:r>
      <w:r>
        <w:rPr>
          <w:rFonts w:hint="eastAsia" w:ascii="宋体" w:hAnsi="宋体"/>
          <w:b/>
          <w:color w:val="auto"/>
          <w:sz w:val="24"/>
          <w:szCs w:val="24"/>
          <w:lang w:val="zh-CN"/>
        </w:rPr>
        <w:t>国(境)外公务接待</w:t>
      </w:r>
      <w:r>
        <w:rPr>
          <w:rFonts w:hint="eastAsia" w:ascii="宋体" w:hAnsi="宋体"/>
          <w:b/>
          <w:color w:val="auto"/>
          <w:sz w:val="24"/>
          <w:szCs w:val="24"/>
          <w:lang w:val="en-US" w:eastAsia="zh-CN"/>
        </w:rPr>
        <w:t>0</w:t>
      </w:r>
      <w:r>
        <w:rPr>
          <w:rFonts w:hint="eastAsia" w:ascii="宋体" w:hAnsi="宋体"/>
          <w:color w:val="auto"/>
          <w:sz w:val="24"/>
          <w:szCs w:val="24"/>
          <w:lang w:val="zh-CN"/>
        </w:rPr>
        <w:t>批次,</w:t>
      </w:r>
      <w:r>
        <w:rPr>
          <w:rFonts w:hint="eastAsia" w:ascii="宋体" w:hAnsi="宋体"/>
          <w:color w:val="auto"/>
          <w:sz w:val="24"/>
          <w:szCs w:val="24"/>
          <w:lang w:val="en-US" w:eastAsia="zh-CN"/>
        </w:rPr>
        <w:t>0</w:t>
      </w:r>
      <w:r>
        <w:rPr>
          <w:rFonts w:hint="eastAsia" w:ascii="宋体" w:hAnsi="宋体"/>
          <w:color w:val="auto"/>
          <w:sz w:val="24"/>
          <w:szCs w:val="24"/>
          <w:lang w:val="zh-CN"/>
        </w:rPr>
        <w:t>人。</w:t>
      </w:r>
    </w:p>
    <w:p w14:paraId="6FB460DE">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en-US" w:eastAsia="zh-CN"/>
        </w:rPr>
        <w:t>十</w:t>
      </w:r>
      <w:r>
        <w:rPr>
          <w:rFonts w:hint="eastAsia" w:ascii="宋体" w:hAnsi="宋体"/>
          <w:b/>
          <w:bCs/>
          <w:color w:val="auto"/>
          <w:sz w:val="24"/>
          <w:szCs w:val="24"/>
          <w:lang w:val="zh-CN" w:eastAsia="zh-CN"/>
        </w:rPr>
        <w:t>、机关运行经费支出情况说明</w:t>
      </w:r>
    </w:p>
    <w:p w14:paraId="40023C24">
      <w:pPr>
        <w:spacing w:before="100" w:beforeLines="0" w:after="100" w:afterLines="0"/>
        <w:jc w:val="left"/>
        <w:rPr>
          <w:rFonts w:hint="eastAsia" w:ascii="宋体" w:hAnsi="宋体"/>
          <w:color w:val="auto"/>
          <w:sz w:val="24"/>
          <w:szCs w:val="24"/>
          <w:lang w:val="zh-CN"/>
        </w:rPr>
      </w:pPr>
      <w:r>
        <w:rPr>
          <w:rFonts w:hint="eastAsia" w:ascii="宋体" w:hAnsi="宋体"/>
          <w:color w:val="000000" w:themeColor="text1"/>
          <w:sz w:val="24"/>
          <w:szCs w:val="24"/>
          <w:lang w:val="zh-CN" w:eastAsia="zh-CN"/>
          <w14:textFill>
            <w14:solidFill>
              <w14:schemeClr w14:val="tx1"/>
            </w14:solidFill>
          </w14:textFill>
        </w:rPr>
        <w:t>我单位是事业单位，</w:t>
      </w:r>
      <w:r>
        <w:rPr>
          <w:rFonts w:hint="eastAsia" w:ascii="宋体" w:hAnsi="宋体"/>
          <w:color w:val="auto"/>
          <w:sz w:val="24"/>
          <w:szCs w:val="24"/>
          <w:lang w:val="zh-CN"/>
        </w:rPr>
        <w:t>2023年度无机关运行相关经费。</w:t>
      </w:r>
    </w:p>
    <w:p w14:paraId="317ADC06">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十一、政府采购支出情况说明</w:t>
      </w:r>
    </w:p>
    <w:p w14:paraId="0FB12199">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2023年度本部门政府采购支出合计150.37万元,其中：政府采购货物支出0.00万元、政府采购工程支出59.27万元、政府采购服务支出91.10万元。授予中小企业合同金额150.37万元,占政府采购支出总额的100.00%,其中：授予小微企业合同金额150.37万元,占政府采购支出总额的100.00%。</w:t>
      </w:r>
    </w:p>
    <w:p w14:paraId="00B56075">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en-US" w:eastAsia="zh-CN"/>
        </w:rPr>
        <w:t>十二</w:t>
      </w:r>
      <w:r>
        <w:rPr>
          <w:rFonts w:hint="eastAsia" w:ascii="宋体" w:hAnsi="宋体"/>
          <w:b/>
          <w:bCs/>
          <w:color w:val="auto"/>
          <w:sz w:val="24"/>
          <w:szCs w:val="24"/>
          <w:lang w:val="zh-CN" w:eastAsia="zh-CN"/>
        </w:rPr>
        <w:t>、国有资产占用情况说明</w:t>
      </w:r>
    </w:p>
    <w:p w14:paraId="1C92AE5D">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截至2023年12月31日,本部门共有车辆0辆,其中,副部(省)级及以上领导用车0辆、主要领导干部用车0辆、机要通信用车0辆、应急保障用车0辆、执法执勤用车0辆,特种专业技术用车0辆,离退休干部用车0辆,其他用车0辆,其他用单价100万元(含)以上设备0台(套)。</w:t>
      </w:r>
    </w:p>
    <w:p w14:paraId="39C41912">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十三、其他需要说明的情况</w:t>
      </w:r>
    </w:p>
    <w:p w14:paraId="7AD21535">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由于决算公开表格中金额数值应当保留两位小数，公开数据为四舍五入计算结果，个别数据合计项与分项之和存在小数点后差额，特此说明。</w:t>
      </w:r>
    </w:p>
    <w:p w14:paraId="343BC33F">
      <w:pPr>
        <w:spacing w:before="100" w:beforeLines="0" w:after="100" w:afterLines="0"/>
        <w:jc w:val="left"/>
        <w:rPr>
          <w:rFonts w:hint="eastAsia" w:ascii="宋体" w:hAnsi="宋体"/>
          <w:color w:val="FF0000"/>
          <w:sz w:val="24"/>
          <w:szCs w:val="24"/>
          <w:lang w:val="zh-CN"/>
        </w:rPr>
      </w:pPr>
    </w:p>
    <w:p w14:paraId="346C237E">
      <w:pPr>
        <w:spacing w:before="100" w:beforeLines="0" w:after="100" w:afterLines="0"/>
        <w:jc w:val="left"/>
        <w:rPr>
          <w:rFonts w:hint="eastAsia" w:ascii="宋体" w:hAnsi="宋体"/>
          <w:color w:val="auto"/>
          <w:sz w:val="24"/>
          <w:szCs w:val="24"/>
          <w:lang w:val="zh-CN"/>
        </w:rPr>
      </w:pPr>
    </w:p>
    <w:p w14:paraId="1CBD9A33">
      <w:pPr>
        <w:spacing w:before="100" w:beforeLines="0" w:after="100" w:afterLines="0"/>
        <w:jc w:val="center"/>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第四部分</w:t>
      </w:r>
      <w:r>
        <w:rPr>
          <w:rFonts w:hint="eastAsia" w:ascii="宋体" w:hAnsi="宋体"/>
          <w:b/>
          <w:bCs/>
          <w:color w:val="auto"/>
          <w:sz w:val="24"/>
          <w:szCs w:val="24"/>
          <w:lang w:val="en-US" w:eastAsia="zh-CN"/>
        </w:rPr>
        <w:t xml:space="preserve">  </w:t>
      </w:r>
      <w:r>
        <w:rPr>
          <w:rFonts w:hint="eastAsia" w:ascii="宋体" w:hAnsi="宋体"/>
          <w:b/>
          <w:bCs/>
          <w:color w:val="auto"/>
          <w:sz w:val="24"/>
          <w:szCs w:val="24"/>
          <w:lang w:val="zh-CN" w:eastAsia="zh-CN"/>
        </w:rPr>
        <w:t>预算绩效情况说明</w:t>
      </w:r>
    </w:p>
    <w:p w14:paraId="653E1CA0">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一、预算绩效管理工作开展情况</w:t>
      </w:r>
    </w:p>
    <w:p w14:paraId="468C8BF5">
      <w:pPr>
        <w:spacing w:before="100" w:beforeLines="0" w:after="100" w:afterLines="0"/>
        <w:ind w:firstLine="480" w:firstLineChars="200"/>
        <w:jc w:val="left"/>
        <w:rPr>
          <w:rFonts w:hint="eastAsia" w:ascii="宋体" w:hAnsi="宋体"/>
          <w:color w:val="auto"/>
          <w:sz w:val="24"/>
          <w:szCs w:val="24"/>
          <w:lang w:val="en-US" w:eastAsia="zh-CN"/>
        </w:rPr>
      </w:pPr>
      <w:r>
        <w:rPr>
          <w:rFonts w:hint="eastAsia" w:ascii="宋体" w:hAnsi="宋体"/>
          <w:color w:val="auto"/>
          <w:sz w:val="24"/>
          <w:szCs w:val="24"/>
          <w:lang w:val="en-US" w:eastAsia="zh-CN"/>
        </w:rPr>
        <w:t>根据预算绩效管理要求,本部门对2023年度一般公共预算项目支出全面开展绩效自评,其中,一级项目3个,二级项目0个,共涉及资金250.3万元,占一般公共预算项目支出总额的100%。对2023年度等0个政府性基金预算项目开展绩效自评,共涉及资金0万元,占政府性基金预算项目支出总额的0.00%。组织对2023年度等0个国有资本经营预算项目开展绩效自评,共涉及资金0万元,占国有资本经营预算项目支出总额的0.00%。组织对2023年博物馆免费开放、文物保护资金、驻村帮扶队专项,涉及一般公共预算支出</w:t>
      </w:r>
      <w:bookmarkStart w:id="5" w:name="OLE_LINK7"/>
      <w:r>
        <w:rPr>
          <w:rFonts w:hint="eastAsia" w:ascii="宋体" w:hAnsi="宋体"/>
          <w:color w:val="auto"/>
          <w:sz w:val="24"/>
          <w:szCs w:val="24"/>
          <w:lang w:val="en-US" w:eastAsia="zh-CN"/>
        </w:rPr>
        <w:t>250.3</w:t>
      </w:r>
      <w:bookmarkEnd w:id="5"/>
      <w:r>
        <w:rPr>
          <w:rFonts w:hint="eastAsia" w:ascii="宋体" w:hAnsi="宋体"/>
          <w:color w:val="auto"/>
          <w:sz w:val="24"/>
          <w:szCs w:val="24"/>
          <w:lang w:val="en-US" w:eastAsia="zh-CN"/>
        </w:rPr>
        <w:t>万元,政府性基金预算支出0万元,国有资本经营预算支出0万元。从评价情况来看,总体自评结果良好，项目立项程序完整、规范，设置了明确的绩效目标，财务相关管理制度健全，预算资金到位,项目资金使用规范,预算执行及时，活动开展及时有效，群众满意度较高，基本实现了预期。一是绩效理念逐步树立。逐步树立了绩效理念，对预算绩效评价工作的态度逐渐由“被动接收”变成“主动实施”。通过设定绩效目标，清楚地了解实施项目所要取得社会效益和经济效益，其职能和目标得到进一步明确。二是支出结构得到优化。一方面，促使预算的编制更科学、更规范，合理分配资金，使有限的财政资金发挥更大的效益。另一方面,通过开展绩效评价,找到项目管理中存在的问题及原因，加强项目规划，健全项目资金的核算与管理，改进资金使用管理方式。</w:t>
      </w:r>
    </w:p>
    <w:p w14:paraId="51D4811F">
      <w:pPr>
        <w:spacing w:before="100" w:beforeLines="0" w:after="100" w:afterLines="0"/>
        <w:jc w:val="left"/>
        <w:rPr>
          <w:rFonts w:hint="eastAsia" w:ascii="宋体" w:hAnsi="宋体"/>
          <w:color w:val="auto"/>
          <w:sz w:val="24"/>
          <w:szCs w:val="24"/>
          <w:lang w:val="zh-CN" w:eastAsia="zh-CN"/>
        </w:rPr>
      </w:pPr>
      <w:r>
        <w:rPr>
          <w:rFonts w:hint="eastAsia" w:ascii="宋体" w:hAnsi="宋体"/>
          <w:color w:val="auto"/>
          <w:sz w:val="24"/>
          <w:szCs w:val="24"/>
          <w:lang w:val="zh-CN" w:eastAsia="zh-CN"/>
        </w:rPr>
        <w:t>(一)绩效自评结果</w:t>
      </w:r>
    </w:p>
    <w:p w14:paraId="0F35A9CE">
      <w:pPr>
        <w:spacing w:before="100" w:beforeLines="0" w:after="100" w:afterLines="0"/>
        <w:ind w:firstLine="480" w:firstLineChars="200"/>
        <w:jc w:val="left"/>
        <w:rPr>
          <w:rFonts w:hint="default" w:ascii="宋体" w:hAnsi="宋体"/>
          <w:color w:val="auto"/>
          <w:sz w:val="24"/>
          <w:szCs w:val="24"/>
          <w:lang w:val="en-US" w:eastAsia="zh-CN"/>
        </w:rPr>
      </w:pPr>
      <w:r>
        <w:rPr>
          <w:rFonts w:hint="eastAsia" w:ascii="宋体" w:hAnsi="宋体"/>
          <w:color w:val="auto"/>
          <w:sz w:val="24"/>
          <w:szCs w:val="24"/>
          <w:lang w:val="en-US" w:eastAsia="zh-CN"/>
        </w:rPr>
        <w:t>2023年度我单位对博物馆纪念馆免费开放、文物保护资金、驻村帮扶3个项目和部门整体支出进行了自评。绩效自评结果具体情况如下：</w:t>
      </w:r>
    </w:p>
    <w:p w14:paraId="02E2EE32">
      <w:pPr>
        <w:spacing w:before="100" w:beforeLines="0" w:after="100" w:afterLines="0"/>
        <w:jc w:val="left"/>
        <w:rPr>
          <w:rFonts w:hint="eastAsia" w:ascii="宋体" w:hAnsi="宋体"/>
          <w:color w:val="auto"/>
          <w:sz w:val="24"/>
          <w:szCs w:val="24"/>
          <w:lang w:val="zh-CN" w:eastAsia="zh-CN"/>
        </w:rPr>
      </w:pPr>
      <w:r>
        <w:rPr>
          <w:rFonts w:hint="eastAsia" w:ascii="宋体" w:hAnsi="宋体"/>
          <w:color w:val="auto"/>
          <w:sz w:val="24"/>
          <w:szCs w:val="24"/>
          <w:lang w:val="en-US" w:eastAsia="zh-CN"/>
        </w:rPr>
        <w:t>部门整体支出绩效自评情况：根据年初设定的绩效目标,绩效自评得分为98分。全年预算数为</w:t>
      </w:r>
      <w:bookmarkStart w:id="6" w:name="OLE_LINK6"/>
      <w:r>
        <w:rPr>
          <w:rFonts w:hint="eastAsia" w:ascii="宋体" w:hAnsi="宋体"/>
          <w:color w:val="auto"/>
          <w:sz w:val="24"/>
          <w:szCs w:val="24"/>
          <w:lang w:val="en-US" w:eastAsia="zh-CN"/>
        </w:rPr>
        <w:t>115.67</w:t>
      </w:r>
      <w:bookmarkEnd w:id="6"/>
      <w:r>
        <w:rPr>
          <w:rFonts w:hint="eastAsia" w:ascii="宋体" w:hAnsi="宋体"/>
          <w:color w:val="auto"/>
          <w:sz w:val="24"/>
          <w:szCs w:val="24"/>
          <w:lang w:val="en-US" w:eastAsia="zh-CN"/>
        </w:rPr>
        <w:t>万元,执行数为115.67万元,完成预算的100%。项目绩效目标完成情况：一是达到了保障单位工作正常运转，二是保证我馆免费开放的目标。发现的主要问题及原因：</w:t>
      </w:r>
      <w:r>
        <w:rPr>
          <w:rFonts w:hint="eastAsia" w:ascii="宋体" w:hAnsi="宋体"/>
          <w:color w:val="auto"/>
          <w:sz w:val="24"/>
          <w:szCs w:val="24"/>
          <w:lang w:val="zh-CN" w:eastAsia="zh-CN"/>
        </w:rPr>
        <w:t>支付项目按照项目要求支付，未偏离绩效目标。</w:t>
      </w:r>
      <w:r>
        <w:rPr>
          <w:rFonts w:hint="eastAsia" w:ascii="宋体" w:hAnsi="宋体"/>
          <w:color w:val="auto"/>
          <w:sz w:val="24"/>
          <w:szCs w:val="24"/>
          <w:lang w:val="en-US" w:eastAsia="zh-CN"/>
        </w:rPr>
        <w:t>下一步改进措施：</w:t>
      </w:r>
      <w:r>
        <w:rPr>
          <w:rFonts w:hint="eastAsia" w:ascii="宋体" w:hAnsi="宋体"/>
          <w:color w:val="auto"/>
          <w:sz w:val="24"/>
          <w:szCs w:val="24"/>
          <w:lang w:val="zh-CN" w:eastAsia="zh-CN"/>
        </w:rPr>
        <w:t>将加大力度，督促项目稳步推进。</w:t>
      </w:r>
    </w:p>
    <w:p w14:paraId="57F9C63F">
      <w:pPr>
        <w:spacing w:before="100" w:beforeLines="0" w:after="100" w:afterLines="0"/>
        <w:jc w:val="left"/>
        <w:rPr>
          <w:rFonts w:hint="eastAsia" w:ascii="宋体" w:hAnsi="宋体"/>
          <w:color w:val="auto"/>
          <w:sz w:val="24"/>
          <w:szCs w:val="24"/>
          <w:lang w:val="en-US" w:eastAsia="zh-CN"/>
        </w:rPr>
      </w:pPr>
      <w:r>
        <w:rPr>
          <w:rFonts w:hint="eastAsia" w:ascii="宋体" w:hAnsi="宋体"/>
          <w:color w:val="auto"/>
          <w:sz w:val="24"/>
          <w:szCs w:val="24"/>
          <w:lang w:val="en-US" w:eastAsia="zh-CN"/>
        </w:rPr>
        <w:t>博物馆、纪念馆免费开放项目绩效自评情况：根据年初设定的绩效目标,项目绩效自评得分为99分。项目全年预算数为</w:t>
      </w:r>
      <w:bookmarkStart w:id="7" w:name="OLE_LINK8"/>
      <w:r>
        <w:rPr>
          <w:rFonts w:hint="eastAsia" w:ascii="宋体" w:hAnsi="宋体"/>
          <w:color w:val="auto"/>
          <w:sz w:val="24"/>
          <w:szCs w:val="24"/>
          <w:lang w:val="en-US" w:eastAsia="zh-CN"/>
        </w:rPr>
        <w:t>132</w:t>
      </w:r>
      <w:bookmarkEnd w:id="7"/>
      <w:r>
        <w:rPr>
          <w:rFonts w:hint="eastAsia" w:ascii="宋体" w:hAnsi="宋体"/>
          <w:color w:val="auto"/>
          <w:sz w:val="24"/>
          <w:szCs w:val="24"/>
          <w:lang w:val="en-US" w:eastAsia="zh-CN"/>
        </w:rPr>
        <w:t>万元,执行数为132万元,完成预算的100%。项目绩效目标完成情况：保障博物馆免费开放，各项业务工作正常运转的目标。发现的主要问题及原因：无。</w:t>
      </w:r>
    </w:p>
    <w:p w14:paraId="1067F23F">
      <w:pPr>
        <w:spacing w:before="100" w:beforeLines="0" w:after="100" w:afterLines="0"/>
        <w:jc w:val="left"/>
        <w:rPr>
          <w:rFonts w:hint="eastAsia" w:ascii="宋体" w:hAnsi="宋体"/>
          <w:color w:val="auto"/>
          <w:sz w:val="24"/>
          <w:szCs w:val="24"/>
          <w:lang w:val="en-US" w:eastAsia="zh-CN"/>
        </w:rPr>
      </w:pPr>
      <w:r>
        <w:rPr>
          <w:rFonts w:hint="eastAsia" w:ascii="宋体" w:hAnsi="宋体"/>
          <w:color w:val="auto"/>
          <w:sz w:val="24"/>
          <w:szCs w:val="24"/>
          <w:lang w:val="en-US" w:eastAsia="zh-CN"/>
        </w:rPr>
        <w:t>文物保护资金项目绩效自评情况：根据年初设定的绩效目标,项目绩效自评得分为99分。项目全年预算数为</w:t>
      </w:r>
      <w:bookmarkStart w:id="8" w:name="OLE_LINK9"/>
      <w:r>
        <w:rPr>
          <w:rFonts w:hint="eastAsia" w:ascii="宋体" w:hAnsi="宋体"/>
          <w:color w:val="auto"/>
          <w:sz w:val="24"/>
          <w:szCs w:val="24"/>
          <w:lang w:val="en-US" w:eastAsia="zh-CN"/>
        </w:rPr>
        <w:t>117.3</w:t>
      </w:r>
      <w:bookmarkEnd w:id="8"/>
      <w:r>
        <w:rPr>
          <w:rFonts w:hint="eastAsia" w:ascii="宋体" w:hAnsi="宋体"/>
          <w:color w:val="auto"/>
          <w:sz w:val="24"/>
          <w:szCs w:val="24"/>
          <w:lang w:val="en-US" w:eastAsia="zh-CN"/>
        </w:rPr>
        <w:t>万元,执行数为117.3万元,完成预算的100%。项目绩效目标完成情况：完成了博物馆基础设施维护管理、保障了文物安全。发现的主要问题及原因：无。</w:t>
      </w:r>
    </w:p>
    <w:p w14:paraId="6BEE4ADB">
      <w:pPr>
        <w:spacing w:before="100" w:beforeLines="0" w:after="100" w:afterLines="0"/>
        <w:jc w:val="left"/>
        <w:rPr>
          <w:rFonts w:hint="eastAsia" w:ascii="宋体" w:hAnsi="宋体"/>
          <w:color w:val="auto"/>
          <w:sz w:val="24"/>
          <w:szCs w:val="24"/>
          <w:lang w:val="en-US" w:eastAsia="zh-CN"/>
        </w:rPr>
      </w:pPr>
      <w:r>
        <w:rPr>
          <w:rFonts w:hint="eastAsia" w:ascii="宋体" w:hAnsi="宋体"/>
          <w:color w:val="auto"/>
          <w:sz w:val="24"/>
          <w:szCs w:val="24"/>
          <w:lang w:val="en-US" w:eastAsia="zh-CN"/>
        </w:rPr>
        <w:t>驻村帮扶队项目绩效自评情况：根据年初设定的绩效目标,项目绩效自评得分为100分。项目全年预算数为1万元,执行数为1万元,完成预算的100%。项目绩效目标完成情况：保证了单位驻村帮扶人员的生活补助。发现的主要问题及原因：无。</w:t>
      </w:r>
    </w:p>
    <w:p w14:paraId="3AE83509">
      <w:pPr>
        <w:spacing w:before="100" w:beforeLines="0" w:after="100" w:afterLines="0"/>
        <w:jc w:val="left"/>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（二） </w:t>
      </w:r>
      <w:r>
        <w:rPr>
          <w:rFonts w:hint="eastAsia" w:ascii="宋体" w:hAnsi="宋体"/>
          <w:color w:val="auto"/>
          <w:sz w:val="24"/>
          <w:szCs w:val="24"/>
          <w:lang w:val="zh-CN"/>
        </w:rPr>
        <w:t>部门绩效评价结果</w:t>
      </w:r>
    </w:p>
    <w:p w14:paraId="4D94CE88">
      <w:pPr>
        <w:spacing w:before="100" w:beforeLines="0" w:after="100" w:afterLines="0"/>
        <w:jc w:val="left"/>
        <w:rPr>
          <w:rFonts w:hint="eastAsia" w:ascii="宋体" w:hAnsi="宋体"/>
          <w:color w:val="auto"/>
          <w:sz w:val="24"/>
          <w:szCs w:val="24"/>
          <w:lang w:val="en-US" w:eastAsia="zh-CN"/>
        </w:rPr>
      </w:pPr>
      <w:r>
        <w:rPr>
          <w:rFonts w:hint="eastAsia" w:ascii="宋体" w:hAnsi="宋体"/>
          <w:color w:val="auto"/>
          <w:sz w:val="24"/>
          <w:szCs w:val="24"/>
          <w:lang w:val="zh-CN" w:eastAsia="zh-CN"/>
        </w:rPr>
        <w:t>总体自评结果良好，项目程序完整、规范，设置了明确的绩效目标，财务相关管理制度健全，预算执行及时、有效，活</w:t>
      </w:r>
      <w:bookmarkStart w:id="9" w:name="_GoBack"/>
      <w:bookmarkEnd w:id="9"/>
      <w:r>
        <w:rPr>
          <w:rFonts w:hint="eastAsia" w:ascii="宋体" w:hAnsi="宋体"/>
          <w:color w:val="auto"/>
          <w:sz w:val="24"/>
          <w:szCs w:val="24"/>
          <w:lang w:val="zh-CN" w:eastAsia="zh-CN"/>
        </w:rPr>
        <w:t>动开展及时有效，群众满意度较高，基本实现了预期。</w:t>
      </w:r>
      <w:r>
        <w:rPr>
          <w:rFonts w:hint="eastAsia" w:ascii="宋体" w:hAnsi="宋体"/>
          <w:color w:val="auto"/>
          <w:sz w:val="24"/>
          <w:szCs w:val="24"/>
          <w:lang w:val="en-US" w:eastAsia="zh-CN"/>
        </w:rPr>
        <w:t>我们将此次绩效自评结果作为完善政策和改进预算绩效管理的重要依据，进一步提高预算绩效管理水平，并按照有关规定及时向社会公开绩效自评结果。</w:t>
      </w:r>
    </w:p>
    <w:p w14:paraId="5A119A31">
      <w:pPr>
        <w:spacing w:before="100" w:beforeLines="0" w:after="100" w:afterLines="0"/>
        <w:jc w:val="left"/>
        <w:rPr>
          <w:rFonts w:hint="eastAsia" w:ascii="宋体" w:hAnsi="宋体"/>
          <w:color w:val="auto"/>
          <w:sz w:val="24"/>
          <w:szCs w:val="24"/>
          <w:lang w:val="en-US" w:eastAsia="zh-CN"/>
        </w:rPr>
      </w:pPr>
      <w:r>
        <w:rPr>
          <w:rFonts w:hint="eastAsia" w:ascii="宋体" w:hAnsi="宋体"/>
          <w:color w:val="auto"/>
          <w:sz w:val="24"/>
          <w:szCs w:val="24"/>
          <w:lang w:val="zh-CN" w:eastAsia="zh-CN"/>
        </w:rPr>
        <w:t>虽然项目支出绩效管理的程度进一步提升，大部分项目有序开展，执行和完成情况良好，资金使用规范，但是也存在不足之处，部分目标设置有待进一步优化，</w:t>
      </w:r>
      <w:r>
        <w:rPr>
          <w:rFonts w:hint="eastAsia" w:ascii="宋体" w:hAnsi="宋体"/>
          <w:color w:val="auto"/>
          <w:sz w:val="24"/>
          <w:szCs w:val="24"/>
          <w:lang w:val="en-US" w:eastAsia="zh-CN"/>
        </w:rPr>
        <w:t>我们将在以后工作中进一步加强和完善。</w:t>
      </w:r>
    </w:p>
    <w:p w14:paraId="7649D7A8">
      <w:pPr>
        <w:numPr>
          <w:ilvl w:val="0"/>
          <w:numId w:val="6"/>
        </w:num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部门绩效评价结果</w:t>
      </w:r>
    </w:p>
    <w:p w14:paraId="542BE385">
      <w:pPr>
        <w:spacing w:before="100" w:beforeLines="0" w:after="100" w:afterLines="0"/>
        <w:jc w:val="left"/>
        <w:rPr>
          <w:rFonts w:hint="eastAsia" w:ascii="宋体" w:hAnsi="宋体"/>
          <w:color w:val="auto"/>
          <w:sz w:val="24"/>
          <w:szCs w:val="24"/>
          <w:lang w:val="zh-CN" w:eastAsia="zh-CN"/>
        </w:rPr>
      </w:pPr>
      <w:r>
        <w:rPr>
          <w:rFonts w:hint="eastAsia" w:ascii="宋体" w:hAnsi="宋体"/>
          <w:color w:val="auto"/>
          <w:sz w:val="24"/>
          <w:szCs w:val="24"/>
          <w:lang w:val="en-US" w:eastAsia="zh-CN"/>
        </w:rPr>
        <w:t>我单位无重点项目，故无重点绩效评价结果。</w:t>
      </w:r>
    </w:p>
    <w:p w14:paraId="3AC0F4EA">
      <w:pPr>
        <w:spacing w:before="100" w:beforeLines="0" w:after="100" w:afterLines="0"/>
        <w:jc w:val="center"/>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第五部分</w:t>
      </w:r>
      <w:r>
        <w:rPr>
          <w:rFonts w:hint="eastAsia" w:ascii="宋体" w:hAnsi="宋体"/>
          <w:b/>
          <w:bCs/>
          <w:color w:val="auto"/>
          <w:sz w:val="24"/>
          <w:szCs w:val="24"/>
          <w:lang w:val="en-US" w:eastAsia="zh-CN"/>
        </w:rPr>
        <w:t xml:space="preserve">  </w:t>
      </w:r>
      <w:r>
        <w:rPr>
          <w:rFonts w:hint="eastAsia" w:ascii="宋体" w:hAnsi="宋体"/>
          <w:b/>
          <w:bCs/>
          <w:color w:val="auto"/>
          <w:sz w:val="24"/>
          <w:szCs w:val="24"/>
          <w:lang w:val="zh-CN" w:eastAsia="zh-CN"/>
        </w:rPr>
        <w:t>名词解释</w:t>
      </w:r>
    </w:p>
    <w:p w14:paraId="29B2DF92">
      <w:pPr>
        <w:spacing w:before="100" w:beforeLines="0" w:after="100" w:afterLines="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一、财政拨款收入</w:t>
      </w:r>
      <w:r>
        <w:rPr>
          <w:rFonts w:hint="eastAsia" w:ascii="宋体" w:hAnsi="宋体" w:eastAsia="宋体" w:cs="宋体"/>
          <w:color w:val="auto"/>
          <w:sz w:val="24"/>
          <w:szCs w:val="24"/>
          <w:lang w:val="zh-CN"/>
        </w:rPr>
        <w:t>：指本年度从同级财政部门取得的财政拨款,包括一般公共预算财政拨款、政府性基金预算财政拨款和国有资本经营预算财政拨款。</w:t>
      </w:r>
    </w:p>
    <w:p w14:paraId="1E61E12F">
      <w:pPr>
        <w:spacing w:before="100" w:beforeLines="0" w:after="100" w:afterLines="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二、事业收入</w:t>
      </w:r>
      <w:r>
        <w:rPr>
          <w:rFonts w:hint="eastAsia" w:ascii="宋体" w:hAnsi="宋体" w:eastAsia="宋体" w:cs="宋体"/>
          <w:color w:val="auto"/>
          <w:sz w:val="24"/>
          <w:szCs w:val="24"/>
          <w:lang w:val="zh-CN"/>
        </w:rPr>
        <w:t>：指事业单位开展专业业务活动及其辅助活动取得的收入。</w:t>
      </w:r>
    </w:p>
    <w:p w14:paraId="7BAAD9A6">
      <w:pPr>
        <w:spacing w:before="100" w:beforeLines="0" w:after="100" w:afterLines="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三、经营收入</w:t>
      </w:r>
      <w:r>
        <w:rPr>
          <w:rFonts w:hint="eastAsia" w:ascii="宋体" w:hAnsi="宋体" w:eastAsia="宋体" w:cs="宋体"/>
          <w:color w:val="auto"/>
          <w:sz w:val="24"/>
          <w:szCs w:val="24"/>
          <w:lang w:val="zh-CN"/>
        </w:rPr>
        <w:t>：指事业单位在专业业务活动及其辅助活动之外开展非独立核算经营活动取得的收入。</w:t>
      </w:r>
    </w:p>
    <w:p w14:paraId="4D9664D3">
      <w:pPr>
        <w:spacing w:before="100" w:beforeLines="0" w:after="100" w:afterLines="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四、其他收入</w:t>
      </w:r>
      <w:r>
        <w:rPr>
          <w:rFonts w:hint="eastAsia" w:ascii="宋体" w:hAnsi="宋体" w:eastAsia="宋体" w:cs="宋体"/>
          <w:color w:val="auto"/>
          <w:sz w:val="24"/>
          <w:szCs w:val="24"/>
          <w:lang w:val="zh-CN"/>
        </w:rPr>
        <w:t>：指除上述“财政拨款收入”“事业收入”、“经营收入”以外的收入。</w:t>
      </w:r>
    </w:p>
    <w:p w14:paraId="3C528278">
      <w:pPr>
        <w:spacing w:before="100" w:beforeLines="0" w:after="100" w:afterLines="0"/>
        <w:jc w:val="both"/>
        <w:rPr>
          <w:rFonts w:hint="eastAsia" w:ascii="宋体" w:hAnsi="宋体" w:eastAsia="宋体" w:cs="宋体"/>
          <w:b w:val="0"/>
          <w:bCs w:val="0"/>
          <w:color w:val="auto"/>
          <w:sz w:val="24"/>
          <w:szCs w:val="24"/>
          <w:lang w:val="zh-CN"/>
        </w:rPr>
      </w:pPr>
      <w:r>
        <w:rPr>
          <w:rFonts w:hint="eastAsia" w:ascii="宋体" w:hAnsi="宋体" w:eastAsia="宋体" w:cs="宋体"/>
          <w:b/>
          <w:bCs/>
          <w:color w:val="auto"/>
          <w:sz w:val="24"/>
          <w:szCs w:val="24"/>
          <w:lang w:val="zh-CN"/>
        </w:rPr>
        <w:t>五、使用非财政拨款结余（含专用结余）：</w:t>
      </w:r>
      <w:r>
        <w:rPr>
          <w:rFonts w:hint="eastAsia" w:ascii="宋体" w:hAnsi="宋体" w:eastAsia="宋体" w:cs="宋体"/>
          <w:b w:val="0"/>
          <w:bCs w:val="0"/>
          <w:color w:val="auto"/>
          <w:sz w:val="24"/>
          <w:szCs w:val="24"/>
          <w:lang w:val="zh-CN"/>
        </w:rPr>
        <w:t>指事业单位按照预算管理要求使用非财政拨款结余弥补收支差额的金额，以及使用专用结余安排支出的金额。</w:t>
      </w:r>
    </w:p>
    <w:p w14:paraId="791B26FB">
      <w:pPr>
        <w:spacing w:before="100" w:beforeLines="0" w:after="100" w:afterLines="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六、年初结转和结余</w:t>
      </w:r>
      <w:r>
        <w:rPr>
          <w:rFonts w:hint="eastAsia" w:ascii="宋体" w:hAnsi="宋体" w:eastAsia="宋体" w:cs="宋体"/>
          <w:color w:val="auto"/>
          <w:sz w:val="24"/>
          <w:szCs w:val="24"/>
          <w:lang w:val="zh-CN"/>
        </w:rPr>
        <w:t>：指单位上年结转至本年使用的基本支出结转、项目支出结转和结余、经营结余。</w:t>
      </w:r>
    </w:p>
    <w:p w14:paraId="6A20B78A">
      <w:pPr>
        <w:spacing w:before="100" w:beforeLines="0" w:after="100" w:afterLines="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七、结余分配</w:t>
      </w:r>
      <w:r>
        <w:rPr>
          <w:rFonts w:hint="eastAsia" w:ascii="宋体" w:hAnsi="宋体" w:eastAsia="宋体" w:cs="宋体"/>
          <w:color w:val="auto"/>
          <w:sz w:val="24"/>
          <w:szCs w:val="24"/>
          <w:lang w:val="zh-CN"/>
        </w:rPr>
        <w:t>：指单位按照会计制度规定缴纳的所得税、提取的专用结余以及转入非财政拨款结余的金额等。</w:t>
      </w:r>
    </w:p>
    <w:p w14:paraId="03EDA0CF">
      <w:pPr>
        <w:spacing w:before="100" w:beforeLines="0" w:after="100" w:afterLines="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八、年末结转和结余</w:t>
      </w:r>
      <w:r>
        <w:rPr>
          <w:rFonts w:hint="eastAsia" w:ascii="宋体" w:hAnsi="宋体" w:eastAsia="宋体" w:cs="宋体"/>
          <w:color w:val="auto"/>
          <w:sz w:val="24"/>
          <w:szCs w:val="24"/>
          <w:lang w:val="zh-CN"/>
        </w:rPr>
        <w:t>：指单位按有关规定结转到下年的基本支出结转、项目支出结转和结余、经营结余。</w:t>
      </w:r>
    </w:p>
    <w:p w14:paraId="19990C0D">
      <w:pPr>
        <w:spacing w:before="100" w:beforeLines="0" w:after="100" w:afterLines="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九、基本支出</w:t>
      </w:r>
      <w:r>
        <w:rPr>
          <w:rFonts w:hint="eastAsia" w:ascii="宋体" w:hAnsi="宋体" w:eastAsia="宋体" w:cs="宋体"/>
          <w:color w:val="auto"/>
          <w:sz w:val="24"/>
          <w:szCs w:val="24"/>
          <w:lang w:val="zh-CN"/>
        </w:rPr>
        <w:t>：指为保障机构正常运转、完成日常工作任务而发生的人员经费和公用经费。</w:t>
      </w:r>
    </w:p>
    <w:p w14:paraId="76A8CC0B">
      <w:pPr>
        <w:spacing w:before="100" w:beforeLines="0" w:after="100" w:afterLines="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十、项目支出</w:t>
      </w:r>
      <w:r>
        <w:rPr>
          <w:rFonts w:hint="eastAsia" w:ascii="宋体" w:hAnsi="宋体" w:eastAsia="宋体" w:cs="宋体"/>
          <w:color w:val="auto"/>
          <w:sz w:val="24"/>
          <w:szCs w:val="24"/>
          <w:lang w:val="zh-CN"/>
        </w:rPr>
        <w:t>：指在基本支出之外为完成特定行政任务或事业发展目标所发生的支出。</w:t>
      </w:r>
    </w:p>
    <w:p w14:paraId="16F1C6ED">
      <w:pPr>
        <w:spacing w:before="100" w:beforeLines="0" w:after="100" w:afterLines="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十一、经营支出</w:t>
      </w:r>
      <w:r>
        <w:rPr>
          <w:rFonts w:hint="eastAsia" w:ascii="宋体" w:hAnsi="宋体" w:eastAsia="宋体" w:cs="宋体"/>
          <w:color w:val="auto"/>
          <w:sz w:val="24"/>
          <w:szCs w:val="24"/>
          <w:lang w:val="zh-CN"/>
        </w:rPr>
        <w:t>：指事业单位在专业业务活动及其辅助活动之外开展非独立核算经营活动发生的支出。</w:t>
      </w:r>
    </w:p>
    <w:p w14:paraId="79D4504C">
      <w:pPr>
        <w:spacing w:before="100" w:beforeLines="0" w:after="100" w:afterLines="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十二、“三公”经费</w:t>
      </w:r>
      <w:r>
        <w:rPr>
          <w:rFonts w:hint="eastAsia" w:ascii="宋体" w:hAnsi="宋体" w:eastAsia="宋体" w:cs="宋体"/>
          <w:color w:val="auto"/>
          <w:sz w:val="24"/>
          <w:szCs w:val="24"/>
          <w:lang w:val="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D02A108">
      <w:pPr>
        <w:spacing w:before="100" w:beforeLines="0" w:after="100" w:afterLines="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十三、机关运行经费</w:t>
      </w:r>
      <w:r>
        <w:rPr>
          <w:rFonts w:hint="eastAsia" w:ascii="宋体" w:hAnsi="宋体" w:eastAsia="宋体" w:cs="宋体"/>
          <w:color w:val="auto"/>
          <w:sz w:val="24"/>
          <w:szCs w:val="24"/>
          <w:lang w:val="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BE34956">
      <w:pPr>
        <w:spacing w:before="100" w:beforeLines="0" w:after="100" w:afterLines="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十四、社会保障和就业支出（类）行政事业单位养老支出（款）机关事业单位基本养老保险缴费支出（项）：</w:t>
      </w:r>
      <w:r>
        <w:rPr>
          <w:rFonts w:hint="eastAsia" w:ascii="宋体" w:hAnsi="宋体" w:eastAsia="宋体" w:cs="宋体"/>
          <w:color w:val="auto"/>
          <w:sz w:val="24"/>
          <w:szCs w:val="24"/>
          <w:lang w:val="zh-CN"/>
        </w:rPr>
        <w:t>反映机关事业单位实施养老保险制度由单位缴纳的基本养老保险支出。</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2"/>
      <w:numFmt w:val="chineseCounting"/>
      <w:lvlText w:val="(%1)"/>
      <w:lvlJc w:val="left"/>
      <w:pPr>
        <w:tabs>
          <w:tab w:val="left" w:pos="312"/>
        </w:tabs>
      </w:pPr>
      <w:rPr>
        <w:rFonts w:hint="eastAsia"/>
      </w:rPr>
    </w:lvl>
  </w:abstractNum>
  <w:abstractNum w:abstractNumId="1">
    <w:nsid w:val="DE36157F"/>
    <w:multiLevelType w:val="singleLevel"/>
    <w:tmpl w:val="DE36157F"/>
    <w:lvl w:ilvl="0" w:tentative="0">
      <w:start w:val="1"/>
      <w:numFmt w:val="decimal"/>
      <w:lvlText w:val="%1."/>
      <w:lvlJc w:val="left"/>
      <w:pPr>
        <w:tabs>
          <w:tab w:val="left" w:pos="312"/>
        </w:tabs>
      </w:pPr>
    </w:lvl>
  </w:abstractNum>
  <w:abstractNum w:abstractNumId="2">
    <w:nsid w:val="0053208E"/>
    <w:multiLevelType w:val="singleLevel"/>
    <w:tmpl w:val="0053208E"/>
    <w:lvl w:ilvl="0" w:tentative="0">
      <w:start w:val="2"/>
      <w:numFmt w:val="chineseCounting"/>
      <w:suff w:val="nothing"/>
      <w:lvlText w:val="（%1）"/>
      <w:lvlJc w:val="left"/>
      <w:rPr>
        <w:rFonts w:hint="eastAsia"/>
      </w:rPr>
    </w:lvl>
  </w:abstractNum>
  <w:abstractNum w:abstractNumId="3">
    <w:nsid w:val="42B97FDE"/>
    <w:multiLevelType w:val="singleLevel"/>
    <w:tmpl w:val="42B97FDE"/>
    <w:lvl w:ilvl="0" w:tentative="0">
      <w:start w:val="1"/>
      <w:numFmt w:val="decimal"/>
      <w:suff w:val="nothing"/>
      <w:lvlText w:val="%1．"/>
      <w:lvlJc w:val="left"/>
    </w:lvl>
  </w:abstractNum>
  <w:abstractNum w:abstractNumId="4">
    <w:nsid w:val="51DF268F"/>
    <w:multiLevelType w:val="singleLevel"/>
    <w:tmpl w:val="51DF268F"/>
    <w:lvl w:ilvl="0" w:tentative="0">
      <w:start w:val="3"/>
      <w:numFmt w:val="chineseCounting"/>
      <w:suff w:val="nothing"/>
      <w:lvlText w:val="%1、"/>
      <w:lvlJc w:val="left"/>
      <w:rPr>
        <w:rFonts w:hint="eastAsia"/>
      </w:rPr>
    </w:lvl>
  </w:abstractNum>
  <w:abstractNum w:abstractNumId="5">
    <w:nsid w:val="59ADCABA"/>
    <w:multiLevelType w:val="singleLevel"/>
    <w:tmpl w:val="59ADCABA"/>
    <w:lvl w:ilvl="0" w:tentative="0">
      <w:start w:val="3"/>
      <w:numFmt w:val="decimal"/>
      <w:lvlText w:val="%1."/>
      <w:lvlJc w:val="left"/>
      <w:pPr>
        <w:tabs>
          <w:tab w:val="left" w:pos="312"/>
        </w:tabs>
      </w:pPr>
      <w:rPr>
        <w:rFonts w:hint="default"/>
        <w:color w:val="000000" w:themeColor="text1"/>
        <w14:textFill>
          <w14:solidFill>
            <w14:schemeClr w14:val="tx1"/>
          </w14:solidFill>
        </w14:textFill>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ZTkyMjNjZjFmZTdkMzI4YTllZDg3YzZlYTlkMDkifQ=="/>
  </w:docVars>
  <w:rsids>
    <w:rsidRoot w:val="00000000"/>
    <w:rsid w:val="022624E7"/>
    <w:rsid w:val="05137D43"/>
    <w:rsid w:val="147645B7"/>
    <w:rsid w:val="1E924E24"/>
    <w:rsid w:val="1FB04EF2"/>
    <w:rsid w:val="25C239BF"/>
    <w:rsid w:val="25E71733"/>
    <w:rsid w:val="2D2E4EB4"/>
    <w:rsid w:val="2D5E35E4"/>
    <w:rsid w:val="2D964B2C"/>
    <w:rsid w:val="33EE1AD0"/>
    <w:rsid w:val="347D3293"/>
    <w:rsid w:val="36213401"/>
    <w:rsid w:val="3C4B16A7"/>
    <w:rsid w:val="3D7A0C69"/>
    <w:rsid w:val="3E4657A6"/>
    <w:rsid w:val="3E916FF4"/>
    <w:rsid w:val="3F22587A"/>
    <w:rsid w:val="409A272E"/>
    <w:rsid w:val="42473E34"/>
    <w:rsid w:val="457E42BB"/>
    <w:rsid w:val="4A222626"/>
    <w:rsid w:val="4EF26865"/>
    <w:rsid w:val="54F62F5A"/>
    <w:rsid w:val="58504F64"/>
    <w:rsid w:val="5B404B5C"/>
    <w:rsid w:val="5DE60909"/>
    <w:rsid w:val="60986FB9"/>
    <w:rsid w:val="61D00DAB"/>
    <w:rsid w:val="66D72332"/>
    <w:rsid w:val="699F29DF"/>
    <w:rsid w:val="75364CAA"/>
    <w:rsid w:val="764A5A81"/>
    <w:rsid w:val="76A348DD"/>
    <w:rsid w:val="7F272E0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
    <w:name w:val="Body text|1"/>
    <w:basedOn w:val="1"/>
    <w:autoRedefine/>
    <w:qFormat/>
    <w:uiPriority w:val="0"/>
    <w:pPr>
      <w:widowControl w:val="0"/>
      <w:shd w:val="clear" w:color="auto" w:fill="auto"/>
      <w:spacing w:line="437"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admin</cp:lastModifiedBy>
  <dcterms:modified xsi:type="dcterms:W3CDTF">2024-08-07T09:26:33Z</dcterms:modified>
  <cp:revision>1</cp:revision>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E06D266F13EA4024808CEEADBAD91186_11</vt:lpwstr>
  </property>
</Properties>
</file>

<file path=customXml/item3.xml><?xml version="1.0" encoding="utf-8"?>
<Properties xmlns="http://schemas.openxmlformats.org/officeDocument/2006/extended-properties" xmlns:vt="http://schemas.openxmlformats.org/officeDocument/2006/docPropsVTypes">
  <Template>Normal.dotm</Template>
  <Pages>13</Pages>
  <Words>6363</Words>
  <Characters>16240</Characters>
  <Lines>0</Lines>
  <Paragraphs>0</Paragraphs>
  <TotalTime>0</TotalTime>
  <ScaleCrop>false</ScaleCrop>
  <LinksUpToDate>false</LinksUpToDate>
  <CharactersWithSpaces>16240</CharactersWithSpaces>
  <Application>WPS Office_11.1.0.12980_F1E327BC-269C-435d-A152-05C5408002CA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admin</cp:lastModifiedBy>
  <dcterms:modified xsi:type="dcterms:W3CDTF">2024-08-07T09:26:33Z</dcterms:modified>
  <cp:revision>1</cp:revision>
</cp:core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wstr>2052-11.1.0.12980</vt:lpwstr>
  </property>
  <property fmtid="{D5CDD505-2E9C-101B-9397-08002B2CF9AE}" pid="3" name="ICV">
    <vt:lpwstr>E06D266F13EA4024808CEEADBAD91186_11</vt:lpwstr>
  </property>
</Properties>
</file>

<file path=customXml/item6.xml><?xml version="1.0" encoding="utf-8"?>
<Properties xmlns:vt="http://schemas.openxmlformats.org/officeDocument/2006/docPropsVTypes" xmlns="http://schemas.openxmlformats.org/officeDocument/2006/extended-properties">
  <Template>Normal.dotm</Template>
  <TotalTime>0</TotalTime>
  <Pages>13</Pages>
  <Words>6363</Words>
  <Characters>16240</Characters>
  <Application>WPS Office_11.1.0.12980_F1E327BC-269C-435d-A152-05C5408002CA</Application>
  <DocSecurity>0</DocSecurity>
  <Lines>0</Lines>
  <Paragraphs>0</Paragraphs>
  <CharactersWithSpaces>16240</CharactersWithSpaces>
  <AppVersion>14.0000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creator>O.L.Problem without you</dc:creator>
  <cp:lastModifiedBy>admin</cp:lastModifiedBy>
  <cp:revision>1</cp:revision>
  <dcterms:created xsi:type="dcterms:W3CDTF">2023-07-20T03:33:00Z</dcterms:created>
  <dcterms:modified xsi:type="dcterms:W3CDTF">2024-08-07T09:26:33Z</dcterms:modified>
</cp:coreProperties>
</file>

<file path=customXml/item8.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E06D266F13EA4024808CEEADBAD91186_11</vt:lpwstr>
  </property>
</Properties>
</file>

<file path=customXml/item9.xml><?xml version="1.0" encoding="utf-8"?>
<Properties xmlns="http://schemas.openxmlformats.org/officeDocument/2006/extended-properties" xmlns:vt="http://schemas.openxmlformats.org/officeDocument/2006/docPropsVTypes">
  <Template>Normal.dotm</Template>
  <Pages>13</Pages>
  <Words>6363</Words>
  <Characters>16240</Characters>
  <Lines>0</Lines>
  <Paragraphs>0</Paragraphs>
  <TotalTime>0</TotalTime>
  <ScaleCrop>false</ScaleCrop>
  <LinksUpToDate>false</LinksUpToDate>
  <CharactersWithSpaces>16240</CharactersWithSpaces>
  <Application>WPS Office_11.1.0.12980_F1E327BC-269C-435d-A152-05C5408002CA</Application>
  <DocSecurity>0</DocSecurity>
</Properties>
</file>

<file path=customXml/itemProps1.xml><?xml version="1.0" encoding="utf-8"?>
<ds:datastoreItem xmlns:ds="http://schemas.openxmlformats.org/officeDocument/2006/customXml" ds:itemID="{897f94c5-236a-4557-a517-6492a1893e3f}">
  <ds:schemaRefs/>
</ds:datastoreItem>
</file>

<file path=customXml/itemProps2.xml><?xml version="1.0" encoding="utf-8"?>
<ds:datastoreItem xmlns:ds="http://schemas.openxmlformats.org/officeDocument/2006/customXml" ds:itemID="{9c84a826-52de-434b-b0eb-912d94027745}">
  <ds:schemaRefs/>
</ds:datastoreItem>
</file>

<file path=customXml/itemProps3.xml><?xml version="1.0" encoding="utf-8"?>
<ds:datastoreItem xmlns:ds="http://schemas.openxmlformats.org/officeDocument/2006/customXml" ds:itemID="{8b36de13-5643-482e-af10-3aedf8dc9652}">
  <ds:schemaRefs/>
</ds:datastoreItem>
</file>

<file path=customXml/itemProps4.xml><?xml version="1.0" encoding="utf-8"?>
<ds:datastoreItem xmlns:ds="http://schemas.openxmlformats.org/officeDocument/2006/customXml" ds:itemID="{80028fa5-921d-42c3-9e73-768615f98a43}">
  <ds:schemaRefs/>
</ds:datastoreItem>
</file>

<file path=customXml/itemProps5.xml><?xml version="1.0" encoding="utf-8"?>
<ds:datastoreItem xmlns:ds="http://schemas.openxmlformats.org/officeDocument/2006/customXml" ds:itemID="{d7a09fb1-ebc5-4fa4-b616-01f8c60c64c4}">
  <ds:schemaRefs/>
</ds:datastoreItem>
</file>

<file path=customXml/itemProps6.xml><?xml version="1.0" encoding="utf-8"?>
<ds:datastoreItem xmlns:ds="http://schemas.openxmlformats.org/officeDocument/2006/customXml" ds:itemID="{d542b26f-5e74-4e9c-8a83-2dcbddb881ed}">
  <ds:schemaRefs/>
</ds:datastoreItem>
</file>

<file path=customXml/itemProps7.xml><?xml version="1.0" encoding="utf-8"?>
<ds:datastoreItem xmlns:ds="http://schemas.openxmlformats.org/officeDocument/2006/customXml" ds:itemID="{643477c9-2c26-4e3a-8c4a-98d60087d966}">
  <ds:schemaRefs/>
</ds:datastoreItem>
</file>

<file path=customXml/itemProps8.xml><?xml version="1.0" encoding="utf-8"?>
<ds:datastoreItem xmlns:ds="http://schemas.openxmlformats.org/officeDocument/2006/customXml" ds:itemID="{e186e95f-dc0b-4f4e-b6e8-c9b5f0097830}">
  <ds:schemaRefs/>
</ds:datastoreItem>
</file>

<file path=customXml/itemProps9.xml><?xml version="1.0" encoding="utf-8"?>
<ds:datastoreItem xmlns:ds="http://schemas.openxmlformats.org/officeDocument/2006/customXml" ds:itemID="{eb989e46-8e6c-49ff-b413-3bc5e0dbeb71}">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5075</Words>
  <Characters>5605</Characters>
  <Lines>0</Lines>
  <Paragraphs>0</Paragraphs>
  <TotalTime>30</TotalTime>
  <ScaleCrop>false</ScaleCrop>
  <LinksUpToDate>false</LinksUpToDate>
  <CharactersWithSpaces>5620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Never give  up</cp:lastModifiedBy>
  <dcterms:modified xsi:type="dcterms:W3CDTF">2024-08-14T08:33:00Z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31759613EF8445E28E8DC00F19FF59B9</vt:lpwstr>
  </property>
</Properties>
</file>